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5" w:rsidRPr="00336B75" w:rsidRDefault="00336B75" w:rsidP="0033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450" cy="374650"/>
            <wp:effectExtent l="19050" t="0" r="635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75" w:rsidRPr="00336B75" w:rsidRDefault="00336B75" w:rsidP="00336B7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36B75" w:rsidRPr="00336B75" w:rsidRDefault="00336B75" w:rsidP="00336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336B75" w:rsidRPr="00336B75" w:rsidRDefault="00336B75" w:rsidP="00336B7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336B75" w:rsidRPr="00336B75" w:rsidRDefault="00336B75" w:rsidP="00C04F3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Восемьдесят второе</w:t>
      </w:r>
      <w:r w:rsidRPr="00336B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336B75" w:rsidRPr="00336B75" w:rsidRDefault="00336B75" w:rsidP="00C04F3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6B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336B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C04F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36</w:t>
      </w:r>
      <w:r w:rsidRPr="00336B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336B75" w:rsidRPr="00336B75" w:rsidRDefault="00336B75" w:rsidP="0033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36B75" w:rsidRPr="00336B75" w:rsidRDefault="00336B75" w:rsidP="00C04F3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г. Верхняя Тура</w:t>
      </w:r>
    </w:p>
    <w:p w:rsidR="00336B75" w:rsidRPr="00336B75" w:rsidRDefault="00336B75" w:rsidP="00336B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i/>
          <w:sz w:val="28"/>
          <w:szCs w:val="28"/>
        </w:rPr>
        <w:t>Об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</w:p>
    <w:p w:rsidR="00336B75" w:rsidRPr="00336B75" w:rsidRDefault="00336B75" w:rsidP="00C04F3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6B75" w:rsidRPr="00336B75" w:rsidRDefault="00336B75" w:rsidP="00336B7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Руководствуясь планом работы Думы городского округа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год, обсудив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первого заместителя главы администрации Городского округа Верхняя Тура Дементьевой Э.Р., директора МУП «ТУРА ЭНЕРГО» </w:t>
      </w:r>
      <w:r w:rsidR="00316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Добош С.М., директора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ООО «Управляющая компания Верхнетуринская» </w:t>
      </w:r>
      <w:r>
        <w:rPr>
          <w:rFonts w:ascii="Times New Roman" w:eastAsia="Times New Roman" w:hAnsi="Times New Roman" w:cs="Times New Roman"/>
          <w:sz w:val="28"/>
          <w:szCs w:val="28"/>
        </w:rPr>
        <w:t>Жиделева Е.В.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3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37D" w:rsidRPr="0093337D">
        <w:rPr>
          <w:rFonts w:ascii="Times New Roman" w:eastAsia="Times New Roman" w:hAnsi="Times New Roman" w:cs="Times New Roman"/>
          <w:sz w:val="28"/>
          <w:szCs w:val="28"/>
        </w:rPr>
        <w:t>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336B75" w:rsidRPr="00336B75" w:rsidRDefault="00336B75" w:rsidP="00336B75">
      <w:pPr>
        <w:tabs>
          <w:tab w:val="left" w:pos="540"/>
        </w:tabs>
        <w:spacing w:before="120" w:after="12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sz w:val="28"/>
          <w:szCs w:val="20"/>
        </w:rPr>
        <w:t>ДУМА ГОРОДСКОГО ОКРУГА ВЕРХНЯЯ ТУРА РЕШИЛА: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9333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37D" w:rsidRPr="0093337D">
        <w:rPr>
          <w:rFonts w:ascii="Times New Roman" w:eastAsia="Times New Roman" w:hAnsi="Times New Roman" w:cs="Times New Roman"/>
          <w:sz w:val="28"/>
          <w:szCs w:val="28"/>
        </w:rPr>
        <w:t>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000">
        <w:rPr>
          <w:rFonts w:ascii="Times New Roman" w:eastAsia="Times New Roman" w:hAnsi="Times New Roman" w:cs="Times New Roman"/>
          <w:sz w:val="28"/>
          <w:szCs w:val="28"/>
        </w:rPr>
        <w:t xml:space="preserve">(прилагается) 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75">
        <w:rPr>
          <w:rFonts w:ascii="Times New Roman" w:eastAsia="Calibri" w:hAnsi="Times New Roman" w:cs="Times New Roman"/>
          <w:sz w:val="28"/>
          <w:szCs w:val="28"/>
        </w:rPr>
        <w:t>Работу по подготовке и проведению отопительного сезона 201</w:t>
      </w:r>
      <w:r w:rsidR="0011210B">
        <w:rPr>
          <w:rFonts w:ascii="Times New Roman" w:eastAsia="Calibri" w:hAnsi="Times New Roman" w:cs="Times New Roman"/>
          <w:sz w:val="28"/>
          <w:szCs w:val="28"/>
        </w:rPr>
        <w:t>8</w:t>
      </w:r>
      <w:r w:rsidRPr="00336B75">
        <w:rPr>
          <w:rFonts w:ascii="Times New Roman" w:eastAsia="Calibri" w:hAnsi="Times New Roman" w:cs="Times New Roman"/>
          <w:sz w:val="28"/>
          <w:szCs w:val="28"/>
        </w:rPr>
        <w:t>-201</w:t>
      </w:r>
      <w:r w:rsidR="0011210B">
        <w:rPr>
          <w:rFonts w:ascii="Times New Roman" w:eastAsia="Calibri" w:hAnsi="Times New Roman" w:cs="Times New Roman"/>
          <w:sz w:val="28"/>
          <w:szCs w:val="28"/>
        </w:rPr>
        <w:t>9</w:t>
      </w:r>
      <w:r w:rsidRPr="00336B7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1210B">
        <w:rPr>
          <w:rFonts w:ascii="Times New Roman" w:eastAsia="Calibri" w:hAnsi="Times New Roman" w:cs="Times New Roman"/>
          <w:sz w:val="28"/>
          <w:szCs w:val="28"/>
        </w:rPr>
        <w:t>ов</w:t>
      </w:r>
      <w:r w:rsidRPr="00336B75">
        <w:rPr>
          <w:rFonts w:ascii="Times New Roman" w:eastAsia="Calibri" w:hAnsi="Times New Roman" w:cs="Times New Roman"/>
          <w:sz w:val="28"/>
          <w:szCs w:val="28"/>
        </w:rPr>
        <w:t xml:space="preserve"> признать удовлетворительной.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600" w:line="228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депутатскую комиссию по городскому хозяйству (председатель Тимшин С.В.).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336B75" w:rsidRPr="00336B75" w:rsidTr="005A497E">
        <w:trPr>
          <w:jc w:val="center"/>
        </w:trPr>
        <w:tc>
          <w:tcPr>
            <w:tcW w:w="4785" w:type="dxa"/>
          </w:tcPr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</w:p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Тура</w:t>
            </w:r>
          </w:p>
        </w:tc>
      </w:tr>
      <w:tr w:rsidR="00336B75" w:rsidRPr="00336B75" w:rsidTr="005A497E">
        <w:trPr>
          <w:jc w:val="center"/>
        </w:trPr>
        <w:tc>
          <w:tcPr>
            <w:tcW w:w="4785" w:type="dxa"/>
          </w:tcPr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О.М. Добош</w:t>
            </w:r>
          </w:p>
          <w:p w:rsidR="00336B75" w:rsidRPr="00336B75" w:rsidRDefault="00336B75" w:rsidP="009333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«___»___________201</w:t>
            </w:r>
            <w:r w:rsidR="009333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И.С. Веснин</w:t>
            </w:r>
          </w:p>
          <w:p w:rsidR="00336B75" w:rsidRPr="00336B75" w:rsidRDefault="00336B75" w:rsidP="009333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«___»___________201</w:t>
            </w:r>
            <w:r w:rsidR="009333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347FF" w:rsidRDefault="005347FF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95BD9" w:rsidRDefault="005F01B6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01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01B6" w:rsidRDefault="005F01B6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Городского округа Верхняя Тура</w:t>
      </w:r>
    </w:p>
    <w:p w:rsidR="005F01B6" w:rsidRDefault="005F01B6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мая 2019 года №</w:t>
      </w:r>
      <w:r w:rsidR="00C04F3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5F01B6" w:rsidRPr="005F01B6" w:rsidRDefault="005F01B6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F01B6" w:rsidRPr="005F01B6" w:rsidRDefault="005F01B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01B6">
        <w:rPr>
          <w:rFonts w:ascii="Times New Roman" w:hAnsi="Times New Roman" w:cs="Times New Roman"/>
          <w:b/>
          <w:sz w:val="28"/>
          <w:szCs w:val="24"/>
        </w:rPr>
        <w:t>Информацию об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</w:p>
    <w:p w:rsidR="005F01B6" w:rsidRPr="00C04F3F" w:rsidRDefault="005F01B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36"/>
          <w:szCs w:val="24"/>
          <w:highlight w:val="yellow"/>
          <w:u w:val="single"/>
        </w:rPr>
      </w:pPr>
    </w:p>
    <w:p w:rsidR="005F01B6" w:rsidRDefault="005F01B6" w:rsidP="005F01B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АДМИНИСТРАЦИЯ  ГОРОДСКОГО ОКРУГА ВЕРХНЯЯ ТУРА</w:t>
      </w:r>
    </w:p>
    <w:p w:rsidR="005F01B6" w:rsidRPr="0040059D" w:rsidRDefault="005F01B6" w:rsidP="005F01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01B6" w:rsidRPr="0022133B" w:rsidRDefault="005F01B6" w:rsidP="005F01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133B">
        <w:rPr>
          <w:rFonts w:ascii="Times New Roman" w:eastAsia="Times New Roman" w:hAnsi="Times New Roman" w:cs="Times New Roman"/>
          <w:b/>
          <w:i/>
          <w:sz w:val="24"/>
          <w:szCs w:val="24"/>
        </w:rPr>
        <w:t>Об итогах отопительного периода 2018/2019 года и подготовке жилищного фонда, объектов социальной сферы, коммунального и электроэнергетического комплексов Городского округа Верхняя Тура к работе в отопительный период 2019/2020 года</w:t>
      </w:r>
    </w:p>
    <w:p w:rsidR="005F01B6" w:rsidRPr="0022133B" w:rsidRDefault="005F01B6" w:rsidP="005F01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Проведение подготовительных работ к отопительному периоду 2018/2019 года осуществлялось в соответствии постановлением главы Городского округа Верхняя Тура от 21.05.2018 № 105 «О подготовке жилищного фонда, объектов социальной сферы, коммунального и электроэнергетического комплекса Городского округа Верхняя Тура к работе в осенне-зимний период 2018/2019 годов».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По состоянию на 1 ноября 2018 года (по форме 1-ЖКХ (зима) готовность объектов жилищно-коммунального хозяйства Городского округа Верхняя Тура к работе в условиях зимнего периода 2018/2019 года по основным показателям составила: жилищный фонд – 100% от общего задания на летнюю ремонтную кампанию, котельные – 100%, центральные тепловые пункты – 100%, тепловые сети (в двухтрубном исполнении) – 100%, водопроводные сети – 100%</w:t>
      </w:r>
      <w:r w:rsidR="0011210B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 топлива для муниципальных котельных, обеспечивающих теплоснабжение жилищного фонда и объектов социальной сферы, по состоянию на 1 ноября 2018 года сформирован в расчете на 100 дней.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В период прохождения отопительного периода 2018/2019 года поставки котельного топлива осуществлялись стабильно.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 материально-технических резервов для ликвидации аварийных ситуаций в сфере жилищно-коммунального хозяйства по состоянию на 1 ноября 2018 года составил 97,6% от плановых показателей. Созданный запас материально-технических ресурсов позволил оперативно устранять возникавшие технологические нарушения.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Паспорта готовности к эксплуатации в осенне-зимний период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br/>
        <w:t>2018/2019 года получили 100% от общего количества жилых многоквартирных домов.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 12.03.2013 № 103 «Об утверждении Правил оценки готовности к отопительному периоду» (далее – Правила оценки готовности), получен паспорт готовности Городского округа Верхняя Тура к отопительному периоду</w:t>
      </w:r>
      <w:r w:rsidR="00C04F3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2018/2019 года.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Полное подключение жилищного фонда и объектов социальной сферы, расположенных в Городском округе Верхняя Тура, к системам централизованного теплоснабжения было осуществлено 20 сентября 2018 года. Подключение жилищного фонда и объектов социальной сферы к системам централизованного теплоснабжения осуществлено в нормативные сроки.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Отопительный период 2018/2019 года прошел организованно, без серьезных технологических нарушений.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Для устранения технологических нарушений в организациях жилищно-коммунального хозяйства Городского округа Верхняя Тура созданы 2 аварийные бригады в составе 12 человек и 6 единиц техники.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 материально-технических ресурсов, предназначенный для ликвидации аварийных ситуаций на объектах и сетях жилищно-коммунального хозяйства, составил 97% от установленного задания.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Наличие аварийных бригад, оснащенных необходимой специальной техникой и оборудованием, а также созданный запас материально-технических ресурсов для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lastRenderedPageBreak/>
        <w:t>ликвидации аварийных ситуаций в сфере жилищно-коммунального хозяйства позволили устранить технологические нарушения, возникающие на объектах и сетях коммунальной инфраструктуры, в кратчайшие сроки без серьезных последствий для жизнедеятельности населения.</w:t>
      </w:r>
    </w:p>
    <w:p w:rsidR="005F01B6" w:rsidRPr="005F01B6" w:rsidRDefault="005F01B6" w:rsidP="005A497E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Постановлением главы Городского округа Верхняя Тура от 06.05.2019 № 101 «Об окончании отопительного сезона 2018/2019 годов» т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еплоснабжающим, теплосетевым и теплопотребляющим организациям, расположенным на территории городского округа Верхняя Тура, рекомендовано завершить отопительный период 2018/2019 года при установлении среднесуточной температуры воздуха выше + 8°С в течение 5 суток подряд. </w:t>
      </w:r>
    </w:p>
    <w:p w:rsidR="005F01B6" w:rsidRPr="005F01B6" w:rsidRDefault="005F01B6" w:rsidP="005A497E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Подача теплоносителя прекращена 8 мая 2019 года с котельных: Детский сад № 12, Школа № 14, ул. Дьячкова, д. 63; 10 мая 2019 года – БМК (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ул. Фомина 247а)</w:t>
      </w:r>
      <w:r w:rsidRPr="005F01B6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отельная ВТБ и Земледелец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Гидравлические испытаний тепловых сетей проведены 14-15 мая 2019 года.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Постановлением </w:t>
      </w:r>
      <w:r w:rsidRPr="005F01B6">
        <w:rPr>
          <w:rFonts w:ascii="Times New Roman" w:eastAsia="Times New Roman" w:hAnsi="Times New Roman" w:cs="Times New Roman"/>
          <w:sz w:val="24"/>
          <w:szCs w:val="20"/>
        </w:rPr>
        <w:t>главы Городского округа Верхняя Тура от 08.05.2019 № 103 о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добрен план мероприятий по подготовке жилищного фонда, объектов социальной сферы, коммунального и электроэнергетического комплексов Городского округа Верхняя Тура к работе в отопительный период 2019/2020 года.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Планово-экономическому отделу Администрации Городского округа Верхняя Тура необходимо: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1) до 3 июня 2019 года: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разработать план мероприятий по подготовке жилищно-коммунального хозяйства к работе в осенне-зимний период 2019/2020 года с учетом проблем, выявленных в ходе отопительного периода 2018/2019 года, а также при проверках Управлением Ростехнадзора готовности муниципальных образований к отопительному периоду 2018/2019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обеспечить представление в Управление Ростехнадзора плана-графика работы комиссии Администрации Городского округа Верхняя Тура по проверке готовности к отопительному периоду 2019/2020 года теплоснабжающих и теплосетевых организаций, потребителей тепловой энергии, котельных, электрических и тепловых сетей на территории Городского округа Верхняя Тура;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разработать программу проведения проверки готовности потребителей тепловой энергии, теплоснабжающих и теплосетевых организаций к отопительному периоду 2019/2020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представить в Департамент государственного жилищного и строительного надзора Свердловской области: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план-график подготовки жилищного фонда и его инженерного оборудования к отопительному периоду 2019/2020 года (далее – план-график подготовки жилищного фонда);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графики прекращения предоставления коммунальных услуг в связи с подготовкой жилищного фонда к отопительному периоду;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копию программы проведения проверки готовности потребителей тепловой энергии, теплоснабжающих и теплосетевых организаций к отопительному периоду 2019/2020 года, утвержденной постановлением главы Городского округа Верхняя Тура;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2) в период с 1 июля по 13 сентября 2019 года обеспечить представление в Департамент государственного жилищного и строительного надзора Свердловской области еженедельных отчетов об исполнении планов-графиков подготовки жилищного фонда, а также о выдаче паспортов готовности жилых многоквартирных домов к отопительному периоду 2019/2020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3) обеспечить контроль за целевым использованием средств бюджета Городского округа Верхняя Тура, направляемых для подготовки муниципального жилищного фонда, муниципальных объектов социальной сферы и коммунальной инфраструктуры к эксплуатации в отопительный период 2019/2020 года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>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4) обеспечить своевременное проведение муниципальными учреждениями и муниципальными предприятиями жилищно-коммунального хозяйства текущих расчетов за потребленные топливно-энергетические ресурсы и коммунальные услуги;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5) предусмотреть обеспечение теплоисточников, находящихся в муниципальной собственности и осуществляющих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lastRenderedPageBreak/>
        <w:t>6) до 13 сентября 2019 года обеспечить создание: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запасов основного и резервного топлива в соответствии с установленными нормативами на теплоисточниках, находящихся в муниципальной собственности и осуществляющих теплоснабжение жилищного фонда и объектов социальной сферы;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запасов материально-технических ресурсов в соответствии с установленными нормативами для ликвидации аварийных ситуаций в муниципальном жилищном фонде, на объектах и сетях коммунальной инфраструктуры;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7) обеспечить погашение к началу отопительного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периода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 2019/2020 года муниципальными учреждениями задолженности за ранее поставленные топливно-энергетические ресурсы и оказанные коммунальные услуги;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8) до 13 сентября 2019 года завершить подготовку к эксплуатации в 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>отопительный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 период 2019/2020 года жилищного фонда, объектов социальной сферы, объектов и сетей коммунальной инфраструктуры с обязательной промывкой тепловых систем;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9) до 15 ноября 2019 года совместно с заинтересованными исполнительными органами государственной власти Свердловской области и во взаимодействии с Управлением Ростехнадзора выполнить необходимые мероприятия для получения паспорта готовности Городского округа Верхняя Тура к отопительному периоду в соответствии с Правилами оценки готовности;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10) обеспечить своевременное и качественное обслуживание внутридомового газового и печного оборудования;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Управлению по делам архитектуры, градостроительства и муниципального имущества Администрации Городского округа Верхняя Тура необходимо: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1) обеспечить актуализацию программ комплексного развития систем коммунальной инфраструктуры и схем теплоснабжения, водоснабжения и водоотведения;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2) продолжить работу по выявлению бесхозяйных объектов жилищно-коммунального хозяйства, а также обеспечить регистрацию прав муниципальной собственности на объекты жилищно-коммунального хозяйства, в том числе бесхозяйные;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Руководителям организаций, имеющих на своем балансе или в управлении жилищный фонд и объекты социальной сферы, а также объекты и сети коммунальной инфраструктуры рекомендовано: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1) до 20 мая 2019 года подвести итоги отопительного периода 2018/2019 года и разработать планы мероприятий по подготовке жилищно-коммунального хозяйства к работе в осенне-зимний период 2019/2020 года с учетом проблем, выявленных в ходе отопительного периода 2018/2019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2) обеспечить: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погашение 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к началу отопительного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периода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2019/2020 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года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задолженности перед поставщиками топливно-энергетических ресурсов, в том числе путем подписания с ресурсоснабжающими организациями соглашений о реструктуризации и взыскания задолженности по оплате коммунальных услуг с потребителей;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своевременность текущих расчетов за потребленные топливно-энергетические ресурсы и коммунальные услуги;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котельные, осуществляющие теплоснабжение жилых домов и объектов социальной сферы, вторыми независимыми источниками электроснабжения и котлами, обеспечивающими работу на резервном топливе;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своевременное и качественное обслуживание внутридомового газового и печного оборудования;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представление в Администрацию Городского округа Верхняя Тура: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сведений о ходе подготовки объектов и сетей коммунальной инфраструктуры, расположенных на их территории, к эксплуатации в отопительный период 2019/2020 года по установленным формам;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планов-графиков подготовки жилищного фонда;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графиков прекращения предоставления коммунальных услуг в связи с проведением ремонтных работ по подготовке жилищного фонда к эксплуатации в отопительный период 2019/2020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в период с 1 августа по 15 сентября еженедельных отчетов по исполнению планов-графиков подготовки жилищного фонда и сведений о паспортах готовности жилых многоквартирных домов к эксплуатации в отопительный период 2019/2020 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3) обеспечить создание: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lastRenderedPageBreak/>
        <w:t>запасов основного и резервного топлива в соответствии с установленными нормативами в котельных, осуществляющих теплоснабжение жилищного фонда и объектов социальной сферы, к началу отопительного периода 2019/2020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 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4) до 13 сентября 2019 года завершить подготовку к эксплуатации в отопительный период 2019/2020 года жилищного фонда, объектов социальной сферы, объектов и сетей коммунальной инфраструктуры с обязательной промывкой тепловых систем; 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5) организовать своевременную и бесперебойную поставку топливно-энергетических ресурсов на объекты жизнеобеспечения населения, осуществляющие теплоснабжение и водоснабжение жилищного фонда и объектов социальной сферы.</w:t>
      </w:r>
    </w:p>
    <w:p w:rsidR="005F01B6" w:rsidRPr="005F01B6" w:rsidRDefault="005F01B6" w:rsidP="005A49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В рамках реализации Региональной программы капитального ремонта общего имущества многоквартирных жилых домов на территории Городского округа Верхняя Тура в 2018 году выполнены следующие виды работ: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замена шиферной кровли на профлист МКД № 5 по ул. Машиностроителей;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замена шиферной кровли МКД № 9 по ул. Машиностроителей;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выполнен ремонт кровли МКД № 176 по ул. Карла Либкнехта.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Жители МКД по ул. Железнодорожников, 66, ул. Машиностроителей, 7 и ул. Гробова, д. 2 отказались от выполнения капитального ремонта общего имущества, в КСП внесены изменения, срок выполнения капитального ремонта общего имущества перенесен на 2021-2023 годы.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На 2019 год запланирован капитальный ремонт общего имущества следующих многоквартирных жилых домов: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ул. Володарского, 70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ул. Чапаева 1, 2 и 3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ул. Лермонтова, 12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Капитального ремонт общего имущества данных МКД выполняет подрядная организация ООО «ТриАлСтрой».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На текущий момент процент выполнения работ следующий.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1 по ул. Чапаева: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2 по ул. Чапаева: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 и системы водоотведения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системы электроснабжения – 95%;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3 по ул. Чапаева: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крыши, системы электроснабжения, системы водоотведения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12 по ул. Лермонтова: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системы электроснабжения и водоотведения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 – 80%;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7 по ул. Володарского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фасада и подвальных помещений (отмостка) – 0%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Срок исполнения работ по ремонту фасада и подвальных помещений (отмостка) – сентябрь месяц, подрядная организация ООО «ТриАлСтрой» приступила к выполнению работ 15 мая 2019 года.</w:t>
      </w:r>
    </w:p>
    <w:p w:rsidR="005F01B6" w:rsidRPr="00897B27" w:rsidRDefault="005F01B6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5F01B6" w:rsidRDefault="005F01B6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04F3F" w:rsidRPr="00897B27" w:rsidRDefault="00C04F3F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29622D" w:rsidRPr="00880C36" w:rsidRDefault="009E6E4A" w:rsidP="005F01B6">
      <w:pPr>
        <w:spacing w:after="0" w:line="22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1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МУП «ТУРА ЭНЕРГО»</w:t>
      </w:r>
    </w:p>
    <w:p w:rsidR="00880C36" w:rsidRDefault="00880C3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36" w:rsidRPr="00880C36" w:rsidRDefault="00880C3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3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80C36" w:rsidRPr="00880C36" w:rsidRDefault="00880C3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36">
        <w:rPr>
          <w:rFonts w:ascii="Times New Roman" w:hAnsi="Times New Roman" w:cs="Times New Roman"/>
          <w:b/>
          <w:sz w:val="24"/>
          <w:szCs w:val="24"/>
        </w:rPr>
        <w:t>об итогах прохождения отопительного сезона 2018-</w:t>
      </w:r>
      <w:r w:rsidR="005A497E">
        <w:rPr>
          <w:rFonts w:ascii="Times New Roman" w:hAnsi="Times New Roman" w:cs="Times New Roman"/>
          <w:b/>
          <w:sz w:val="24"/>
          <w:szCs w:val="24"/>
        </w:rPr>
        <w:t>20</w:t>
      </w:r>
      <w:r w:rsidRPr="00880C36">
        <w:rPr>
          <w:rFonts w:ascii="Times New Roman" w:hAnsi="Times New Roman" w:cs="Times New Roman"/>
          <w:b/>
          <w:sz w:val="24"/>
          <w:szCs w:val="24"/>
        </w:rPr>
        <w:t>19</w:t>
      </w:r>
      <w:r w:rsidR="005A4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36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880C36" w:rsidRPr="00880C36" w:rsidRDefault="00880C36" w:rsidP="00880C3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Отопительный сезон 2018-19г.г. прошел без серьезных нарушений. Все котельные работали в штатном режиме с соблюдением температурного графика, внеплановых отключений теплоснабжения не было.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За время отопительного сезона на участке теплоснабжения были проведены следующие работы: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Котельная шк. 14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системы ГВС с заменой на полипропиленовые трубы;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пола в насосном отделении с покрытием метлахской плиткой;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системы дренажей насосного отделения;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бака - аккумулятора V=500 л. для компенсации тепловых расширений;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 и наладка системы управления горелки котла №2 с заменой блока автоматики ТРМ-1;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подпиточного насоса №1 с заменой подшипников;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энергоэффективного сетевого насоса мощностью 860 Вт (вместо 5,5 кВт).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Водозабор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системы промывки всасывающего коллектора насоса первого подъема.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Центральная водогрейная котельная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проведение мероприятий по обеспечению положительной температуры в помещении здания ЦВК: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а) герметизация системы приточно-вытяжной вентиляции;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б) уплотнение оконных и дверных проемов;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в) обустройство тепловых завес дверных проемов;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г) установка дополнительных регистров отопительных приборов;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д) установка дополнительных вентиляторов для обдува теплым воздухом необогреваемых участков здания, оборудования.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Котельная д/с 12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эл. двигателя сетевого насоса №2;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установка, наладка системы защиты электрооборудования от потери напряжения на одной из фаз.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Котельная ЛЗУ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погружного насоса (для скважины);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системы поддержания давления в обратном трубопроводе тепловой сети;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и обвязка новых сетевых насосов №2 и №3;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изготовление и монтаж эл. распределительного щита;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изготовление и монтаж силового эл. распределительного щита;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уличного освещения (светодиодные прожекторы);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бетонного пола.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Помимо прочего, силами участка теплоснабжения проводились работы по: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ремонту щитов управления КНС №1,5,6;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ремонту погружного насоса в пос. Каменка-Геолог;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ремонту и обслуживанию электрооборудования по заявкам участка водоснабжения и водоотведения.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 xml:space="preserve">2. Во время отопительного сезона участком водоснабжения и водоотведения своевременно проводились работы по устранению аварий на тепловых сетях. Проведена ревизия запорной арматуры. При ремонтных работах и, соответственно, временном </w:t>
      </w:r>
      <w:r w:rsidRPr="00880C36">
        <w:rPr>
          <w:rFonts w:ascii="Times New Roman" w:hAnsi="Times New Roman" w:cs="Times New Roman"/>
          <w:sz w:val="24"/>
          <w:szCs w:val="24"/>
        </w:rPr>
        <w:lastRenderedPageBreak/>
        <w:t>отключении поврежденных участков сетей, температурный режим у потребителей тепла не нарушался.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Для ремонтов затрачены следующие материалы и оборудование: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ТК-4: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затвор Ду 200 мм.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132 квартал: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задвижка Ду 100 мм - 2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затвор Ду 100 мм - 2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Карла Либкнехта, 177: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задвижка Ду 50 мм - 1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Машиностроителей, 7: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кран шаровый Ду 25 мм - 2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бывшей котельной №3: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стальная Ду 200 мм - 18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фланец Ø300 мм - 1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Теплосеть на ул. Машиностроителей, 19Б: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стальная Ду 100 мм - 61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Иканина, 79: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Ду 100 мм - 2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100 мм - 5 м.;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кольцо, крышка, люк по 1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Теплосеть на ВТМТ: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150 мм - 2,5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Иканина, 92 (Рынок):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Ø76 мм - 2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совхоза: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150 мм - 1,5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Иканина, 72: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Ду 100 мм - 1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100 мм - 3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Гробова, 29: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Ду 125 мм - 1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Строителей, 11: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Ду 100 мм - 1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100 мм - 1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Володарского, 70: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Ø57 мм - 1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Ø57 мм - 7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школы №19: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ПНД Ø32 - 45м.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Иканина, 119: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Ø89 мм - 11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8 Марта, 13: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ПНД Ø40 мм - 2 м. - 3 раза.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почты: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ПНД Ø32 мм - 3 м. - 3 раза.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ТК-4, ТК-5: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спускников - 4шт.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Советская, 27: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хомута для устранения утечки (смета на замену аварийного участка теплосети направлена в администрацию).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Перекресток ул. Володарского - ул. Машиностроителей: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100 мм - 15 м. (смета на замену аварийного участка теплосети направлена в администрацию).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водной станции: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Ø89 мм - 3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спускников - 2 шт. (теплосеть на водную станцию отглушена).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Ремонты на сетях подземной прокладки осуществлялись с привлечением спецтехники для проведения земляных работ.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 xml:space="preserve">После проведения основного количества ремонтных работ на тепловых сетях, величина подпитки от Блочной котельной 27МВт сократилась с 30 м3/ч  в начале отопительного периода до 4 м3/ч в феврале и далее. 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Также выполнены следующие мероприятия на сетях водоотведения: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- установлены насосы на КНС №1 (2 шт.), КНС №3 (1шт.);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КНС №1,3 запущены в работу с дежурным персоналом;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проведена чистка канализационных коллекторов на больничном городке и по ул. Бажова;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- после ремонта установлен насос на КНС №6;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проведена чистка КНС №5;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КНС №5,6 запущены в работу;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устранены утечка от КНС №4: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а) на напорном коллекторе Ø300 мм в "Деминском" проулке между ул. К.Маркса и ул. Дьячкова;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б) в районе ул. Первомайская, 1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в) на выходе в поля ул. Красноармейской.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работа по устранению местных засоров на канализации (347 шт.).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На сетях водоснабжения: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устранены утечки: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а) ул. Первомайская, 3 - водопровод Ду 100 (0,3-0,4 м.);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б) ул. Грушина, 101 - водопровод Ду 100 (3 м.);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в) ул. Гробова - ул. Строителей - водопровод на 6 домов (Строителей, 8,10,12,13, Гробова, 26, 26А)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г) ул. Гробова - ул. Володарского водопровод Ду 100 (утечка ~ 30 м3/ч);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д) ул. Красноармейская, 178 водопровод Ду 200.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е) в районе ул. Володарского, 29 водопровод Ду 100 (утечка ~ 3-5 м3/ч);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 xml:space="preserve">За время отопительного сезона, в связи с устранением утечек, сокращено потребление воды с АО "ВТМЗ" на 5-7% (~ 20 м3/ч).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Периодически проводился ремонт зимних водоразборных колонок (67 раз).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Восстановлено электроснабжение слесарных мастерских (более 3-х лет находились без электричества.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Восстановлено водоснабжение водоразборной колонки по ул. Совхозная, 4А.</w:t>
      </w:r>
    </w:p>
    <w:p w:rsidR="009E6E4A" w:rsidRDefault="009E6E4A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1B6" w:rsidRPr="00897B27" w:rsidRDefault="005F01B6" w:rsidP="005F01B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897B27">
        <w:rPr>
          <w:rFonts w:ascii="Times New Roman" w:eastAsia="Times New Roman" w:hAnsi="Times New Roman" w:cs="Times New Roman"/>
          <w:b/>
        </w:rPr>
        <w:t>ПЕРЕЧЕНЬ</w:t>
      </w:r>
    </w:p>
    <w:p w:rsidR="005F01B6" w:rsidRDefault="005F01B6" w:rsidP="005A49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897B27">
        <w:rPr>
          <w:rFonts w:ascii="Times New Roman" w:eastAsia="Times New Roman" w:hAnsi="Times New Roman" w:cs="Times New Roman"/>
          <w:b/>
        </w:rPr>
        <w:t>работ МУП "Тура Энерго", необходимых для подготовки</w:t>
      </w:r>
      <w:r w:rsidR="005A497E">
        <w:rPr>
          <w:rFonts w:ascii="Times New Roman" w:eastAsia="Times New Roman" w:hAnsi="Times New Roman" w:cs="Times New Roman"/>
          <w:b/>
        </w:rPr>
        <w:t xml:space="preserve"> </w:t>
      </w:r>
      <w:r w:rsidRPr="00897B27">
        <w:rPr>
          <w:rFonts w:ascii="Times New Roman" w:eastAsia="Times New Roman" w:hAnsi="Times New Roman" w:cs="Times New Roman"/>
          <w:b/>
        </w:rPr>
        <w:t>котельных, сетей теплоснабжения, водоснабжения и водоотведения к эксплуатации</w:t>
      </w:r>
      <w:r w:rsidR="005A497E">
        <w:rPr>
          <w:rFonts w:ascii="Times New Roman" w:eastAsia="Times New Roman" w:hAnsi="Times New Roman" w:cs="Times New Roman"/>
          <w:b/>
        </w:rPr>
        <w:t xml:space="preserve"> </w:t>
      </w:r>
      <w:r w:rsidRPr="00897B27">
        <w:rPr>
          <w:rFonts w:ascii="Times New Roman" w:eastAsia="Times New Roman" w:hAnsi="Times New Roman" w:cs="Times New Roman"/>
          <w:b/>
        </w:rPr>
        <w:t>в отопительный период 2019 - 2020 г.г.</w:t>
      </w:r>
    </w:p>
    <w:p w:rsidR="005A497E" w:rsidRPr="00897B27" w:rsidRDefault="005A497E" w:rsidP="005A497E">
      <w:pPr>
        <w:spacing w:after="0" w:line="216" w:lineRule="auto"/>
        <w:jc w:val="center"/>
        <w:rPr>
          <w:rFonts w:ascii="Times New Roman" w:eastAsia="Times New Roman" w:hAnsi="Times New Roman" w:cs="Times New Roman"/>
        </w:rPr>
      </w:pPr>
    </w:p>
    <w:p w:rsidR="005F01B6" w:rsidRPr="00897B27" w:rsidRDefault="005F01B6" w:rsidP="005F01B6">
      <w:pPr>
        <w:spacing w:after="0" w:line="216" w:lineRule="auto"/>
        <w:rPr>
          <w:rFonts w:ascii="Times New Roman" w:eastAsia="Times New Roman" w:hAnsi="Times New Roman" w:cs="Times New Roman"/>
          <w:b/>
          <w:u w:val="single"/>
        </w:rPr>
      </w:pPr>
      <w:r w:rsidRPr="00897B27">
        <w:rPr>
          <w:rFonts w:ascii="Times New Roman" w:eastAsia="Times New Roman" w:hAnsi="Times New Roman" w:cs="Times New Roman"/>
        </w:rPr>
        <w:tab/>
      </w:r>
      <w:r w:rsidRPr="00897B27">
        <w:rPr>
          <w:rFonts w:ascii="Times New Roman" w:eastAsia="Times New Roman" w:hAnsi="Times New Roman" w:cs="Times New Roman"/>
        </w:rPr>
        <w:tab/>
      </w:r>
      <w:r w:rsidRPr="00897B27">
        <w:rPr>
          <w:rFonts w:ascii="Times New Roman" w:eastAsia="Times New Roman" w:hAnsi="Times New Roman" w:cs="Times New Roman"/>
          <w:b/>
          <w:u w:val="single"/>
        </w:rPr>
        <w:t>1. Участок водоотведения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4110"/>
        <w:gridCol w:w="1843"/>
      </w:tblGrid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Ориентировочн. стоимость, руб</w:t>
            </w:r>
          </w:p>
        </w:tc>
      </w:tr>
      <w:tr w:rsidR="005F01B6" w:rsidRPr="00897B27" w:rsidTr="00C04F3F">
        <w:tc>
          <w:tcPr>
            <w:tcW w:w="10065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Сети водоснабжения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ЦГБ (гараж)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Ду 20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5 008</w:t>
            </w: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ул. Совхозная 13 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(д/с № 45)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колодцев с последующей обваловкой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33 856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шарового крана Ду 32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8 Марта 13-15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задвижки Ø 100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11 822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27-29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Устранение утечки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68 989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26 А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Устранение утечки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9 088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57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34 415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26 А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32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6 185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Перекресток ул. Машиностроителей - ул. Володарского (муз. Школа)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задвижки Ø 150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19 138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Карла Либкнехта 185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Грушина - банный переулок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Иканина - банный переулок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Чкалова 8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Первомайская 48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Первомайская 78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Молодцова 95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Молодцова 122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Ленина 143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Ленина 215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Красноармейская 152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Красноармейская 86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Красноармейская 60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Красноармейская 52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Пионерская 74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Пионерская 14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Пионерская 89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Максима Горького 38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69 067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7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60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68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Совхозная 4А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Совхозная 10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ул.Железнодорожников 66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Первомайская (школа № 14)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25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90 354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1А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колодца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65 908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Совхозная 15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32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Д/с №47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63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133 квартал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 на колодцы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Машиностроителей 1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80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3 382</w:t>
            </w:r>
          </w:p>
        </w:tc>
      </w:tr>
      <w:tr w:rsidR="005F01B6" w:rsidRPr="00897B27" w:rsidTr="00C04F3F">
        <w:tc>
          <w:tcPr>
            <w:tcW w:w="10065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Тепловые сети</w:t>
            </w: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Теплосеть района "Совхоз"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 Ду 150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71 045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Замена задвижек Ду 100 мм 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23 923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вентилей Ду 32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26 838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спускников Ду 15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3 238</w:t>
            </w: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Теплосеть от ЦВК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задвижки Ду 100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11 962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 Ду 300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57 809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200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(д/с 35 -2 шт; ул. Лермонтова 14 -2 шт; школа № 19 -2 шт)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68 314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Лермонтова 16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150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38 300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Д/с №35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150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38 300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3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100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23 654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ВТМТ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150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38 300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КНС-3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вентилей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3 439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Школа № 19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Замена участка сети </w:t>
            </w:r>
            <w:r w:rsidRPr="00897B27">
              <w:rPr>
                <w:rFonts w:ascii="Times New Roman" w:eastAsia="Times New Roman" w:hAnsi="Times New Roman" w:cs="Times New Roman"/>
                <w:iCs/>
                <w:color w:val="000000"/>
              </w:rPr>
              <w:t>Ø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 57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70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57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Иканина 72 (клуб "Мужество")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Машиностроителей 19 Б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ул. Машиностроителей 19А - 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Машиностроителей 23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150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Иканина 119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89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ул.Советская 27-Советская25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89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404 596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-Машиностроителей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1 927 456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Грушина 105 (Почта)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32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Теплосеть на ул. 8 Марта 13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32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10065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Сети водоотведения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Чапаева 2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150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41 412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4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200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9 686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200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46 372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Деминский переулок 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Устранение утечки на коллекторе Ø 300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3 - КНС-6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Чистка самотечного коллектора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200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Школа № 19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ж/б колодца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26 896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22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ж/б колодца Ø 1м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26 896</w:t>
            </w: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132-133 кварталы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1,5м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629 978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Самотечный коллектор по ул. Бажова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1,5м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52 616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КНС-5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крышки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1,5м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14 942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люка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3 - КНС-6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144 942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rPr>
          <w:trHeight w:val="20"/>
        </w:trPr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1А - КНС -3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81 547</w:t>
            </w:r>
          </w:p>
        </w:tc>
      </w:tr>
      <w:tr w:rsidR="005F01B6" w:rsidRPr="00897B27" w:rsidTr="00C04F3F">
        <w:trPr>
          <w:trHeight w:val="20"/>
        </w:trPr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rPr>
          <w:trHeight w:val="20"/>
        </w:trPr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КНС-5, КНС-4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КНС-1 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кровельного покрытия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982 750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остекления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электроосвещения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пускателя на насос № 1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задвижки Ø 200 мм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бетонного пола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отмостки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 -2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Ремонт кровельного покрытия. 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720 342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насоса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  <w:vAlign w:val="bottom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задвижки Ø 200 мм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насоса № 1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отмостки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КНС-3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отмостки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580 355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электрооборудования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КНС-4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насоса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1 121 846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насоса № 1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кровли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стен приемного отделения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бетонного покрытия пола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задвижки Ø 300 мм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задвижки Ø 150 мм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электроосвещения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вентиляции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КНС-5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кровли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495 030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насоса № 2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электро.проводки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отмостки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Устроиство отопления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4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КНС-6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насоса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524 219</w:t>
            </w: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кровельного покрытия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электро.проводки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дренажного насоса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вентиляции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бетонного покрытия пола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двери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двери 2 ввод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4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КНС-7</w:t>
            </w:r>
          </w:p>
        </w:tc>
        <w:tc>
          <w:tcPr>
            <w:tcW w:w="4110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погружного насоса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335 948</w:t>
            </w:r>
          </w:p>
        </w:tc>
      </w:tr>
    </w:tbl>
    <w:p w:rsidR="005F01B6" w:rsidRDefault="005F01B6" w:rsidP="005F01B6">
      <w:pPr>
        <w:spacing w:after="0" w:line="216" w:lineRule="auto"/>
        <w:rPr>
          <w:rFonts w:ascii="Times New Roman" w:eastAsia="Times New Roman" w:hAnsi="Times New Roman" w:cs="Times New Roman"/>
        </w:rPr>
      </w:pPr>
    </w:p>
    <w:p w:rsidR="00C04F3F" w:rsidRDefault="00C04F3F" w:rsidP="005F01B6">
      <w:pPr>
        <w:spacing w:after="0" w:line="216" w:lineRule="auto"/>
        <w:rPr>
          <w:rFonts w:ascii="Times New Roman" w:eastAsia="Times New Roman" w:hAnsi="Times New Roman" w:cs="Times New Roman"/>
        </w:rPr>
      </w:pPr>
    </w:p>
    <w:p w:rsidR="00C04F3F" w:rsidRDefault="00C04F3F" w:rsidP="005F01B6">
      <w:pPr>
        <w:spacing w:after="0" w:line="216" w:lineRule="auto"/>
        <w:rPr>
          <w:rFonts w:ascii="Times New Roman" w:eastAsia="Times New Roman" w:hAnsi="Times New Roman" w:cs="Times New Roman"/>
        </w:rPr>
      </w:pPr>
    </w:p>
    <w:p w:rsidR="005F01B6" w:rsidRPr="00897B27" w:rsidRDefault="005F01B6" w:rsidP="005F01B6">
      <w:pPr>
        <w:spacing w:after="0" w:line="216" w:lineRule="auto"/>
        <w:rPr>
          <w:rFonts w:ascii="Times New Roman" w:eastAsia="Times New Roman" w:hAnsi="Times New Roman" w:cs="Times New Roman"/>
          <w:b/>
          <w:u w:val="single"/>
        </w:rPr>
      </w:pPr>
      <w:r w:rsidRPr="00897B27">
        <w:rPr>
          <w:rFonts w:ascii="Times New Roman" w:eastAsia="Times New Roman" w:hAnsi="Times New Roman" w:cs="Times New Roman"/>
          <w:b/>
          <w:u w:val="single"/>
        </w:rPr>
        <w:lastRenderedPageBreak/>
        <w:t>2. Участок теплоснабжения</w:t>
      </w:r>
    </w:p>
    <w:p w:rsidR="005F01B6" w:rsidRPr="00897B27" w:rsidRDefault="005F01B6" w:rsidP="005F01B6">
      <w:pPr>
        <w:spacing w:after="0" w:line="216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3402"/>
        <w:gridCol w:w="1984"/>
      </w:tblGrid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Срок проведения работ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5F01B6" w:rsidRPr="00897B27" w:rsidTr="00C04F3F">
        <w:tc>
          <w:tcPr>
            <w:tcW w:w="9923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Дьячкова 63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Ограждение территории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и наладка ХВП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Тепловая изоляция трубопроводов в помещении котельной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термометров, манометров, расходомеров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Проведение режимных испытаний с выдачей режимных карт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9923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школы № 14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Проведение режимных испытаний с выдачей режимных карт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СИЗ (противогазы, газоанализаторы, спасательные веревки, омедненный инструмент и т.д.)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Окраска газопровода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Режимные испытания котлов КВГ-250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Аттестация персонала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1984" w:type="dxa"/>
          </w:tcPr>
          <w:p w:rsidR="005F01B6" w:rsidRPr="006F517F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6F517F">
              <w:rPr>
                <w:rFonts w:ascii="Times New Roman" w:eastAsia="Times New Roman" w:hAnsi="Times New Roman" w:cs="Times New Roman"/>
                <w:sz w:val="16"/>
              </w:rPr>
              <w:t>Рассмотреть вариант ремонта крыши с применением технологии нанесения вспененного полиуретана или полимочевины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Разработка проекта на узел учета газа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узла учета газа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(перемотка) электродвигателя подпиточного насоса №1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9923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детского сада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Замена газохода котла КВР-0,5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Замена крыши (4,5х4,5) над подпиточным отделением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асбоцементной канализационной трубы между 1 и 2 колодцами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01.08.2019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Проведение режимных испытаний с выдачей режимных карт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силового щита для питания внутренних электропотребителей котельной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щит выполнен из б\у аппаратуры.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и замена колосников котла №2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и монтаж светильников в котельном зале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и монтаж дымососа для котла №1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Строительство помещения для дымососа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9923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ЛЗУ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Замена 2 котлов, отработавших свой срок на котлы КВР- 0,63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Восстановление размороженной запорной арматуры на котле №1 и установка отопительных приборов вблизи котла №1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крыши, стен, электропроводки, монтаж осветительных приборов.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01.08.2019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Восстановление паспорта на здание котельной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ограждения котельной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Организация системы отвода поверхностных вод со всей территории котельной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Строительство склада для хранения твердого топлива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системы ХВП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Тепловая изоляция трубопроводов в помещении котельной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кирпичной кладки фронта котлов № 2 и 3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термометров, манометров, расходомеров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Проведение режимных испытаний с выдачей режимных карт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Окраска трубопроводов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электродвигателя (перемотка) сетевого насоса №2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силового щита для питания внутренних электропотребителей котельной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9923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ЦВК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F01B6" w:rsidRPr="006F517F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F517F">
              <w:rPr>
                <w:rFonts w:ascii="Times New Roman" w:eastAsia="Times New Roman" w:hAnsi="Times New Roman" w:cs="Times New Roman"/>
                <w:sz w:val="18"/>
              </w:rPr>
              <w:t xml:space="preserve">Выполнение антитеррористических мероприятий (ограждение периметра, устройство ворот, установка стационарной телефонной связи, установка тревожной кнопки с выводом на вневедомственную охрану) 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по линии ФСБ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дымовой трубы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газопровода низкого давления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газопровода высокого давления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водогрейных котлов ПТВМ-30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здания котельной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Лицензирование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C04F3F">
        <w:trPr>
          <w:trHeight w:val="50"/>
        </w:trPr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приборов КИП и А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Подшипники Ремонт сетевых насосов 11;12;14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сетевых насосов 11;12;14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Набивка МС-101 – 10м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сетевого насоса №11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 xml:space="preserve">Электродвигатель 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5АИ200</w:t>
            </w:r>
            <w:r w:rsidRPr="00897B27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897B27">
              <w:rPr>
                <w:rFonts w:ascii="Times New Roman" w:eastAsia="Times New Roman" w:hAnsi="Times New Roman" w:cs="Times New Roman"/>
              </w:rPr>
              <w:t>4У2 – 2 шт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 xml:space="preserve">Для дутьевых вентиляторов 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№ 3 и 4.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Масло ТП-22 – 200л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Для редуктора дымососов №1и2</w:t>
            </w:r>
          </w:p>
        </w:tc>
      </w:tr>
      <w:tr w:rsidR="005F01B6" w:rsidRPr="00897B27" w:rsidTr="00C04F3F">
        <w:tc>
          <w:tcPr>
            <w:tcW w:w="9923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Водозабор ЦВК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крыши насосного отделения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1984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97B27">
              <w:rPr>
                <w:rFonts w:ascii="Times New Roman" w:eastAsia="Times New Roman" w:hAnsi="Times New Roman" w:cs="Times New Roman"/>
                <w:sz w:val="18"/>
              </w:rPr>
              <w:t>Рассмотреть вариант ремонта крыши с применением технологии нанесения вспененного полиуретана или полимочевины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крыши фильтровального отделения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1984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tabs>
                <w:tab w:val="left" w:pos="2040"/>
              </w:tabs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и монтаж котла для отопления зданий водозабора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97B27">
              <w:rPr>
                <w:rFonts w:ascii="Times New Roman" w:eastAsia="Times New Roman" w:hAnsi="Times New Roman" w:cs="Times New Roman"/>
                <w:sz w:val="18"/>
              </w:rPr>
              <w:t>Возможно использование котла после восстановления с бывшей котельной очистных сооружений</w:t>
            </w:r>
          </w:p>
        </w:tc>
      </w:tr>
      <w:tr w:rsidR="005F01B6" w:rsidRPr="00897B27" w:rsidTr="00C04F3F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системы отопления (устранение множественных утечек)</w:t>
            </w:r>
          </w:p>
        </w:tc>
        <w:tc>
          <w:tcPr>
            <w:tcW w:w="3402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198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1B6" w:rsidRPr="00897B27" w:rsidRDefault="005F01B6" w:rsidP="005F01B6">
      <w:pPr>
        <w:spacing w:after="0" w:line="216" w:lineRule="auto"/>
        <w:rPr>
          <w:rFonts w:ascii="Times New Roman" w:eastAsia="Times New Roman" w:hAnsi="Times New Roman" w:cs="Times New Roman"/>
          <w:b/>
          <w:u w:val="single"/>
        </w:rPr>
      </w:pPr>
    </w:p>
    <w:p w:rsidR="00D45C89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3F" w:rsidRDefault="00C04F3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3F" w:rsidRDefault="00C04F3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3F" w:rsidRPr="005A497E" w:rsidRDefault="00C04F3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7E" w:rsidRPr="005A497E" w:rsidRDefault="005A497E" w:rsidP="005A497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9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ООО «УК Верхнетуринская»</w:t>
      </w: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47D4F" w:rsidRPr="005A497E" w:rsidRDefault="00B47D4F" w:rsidP="005A497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о прохождении ОЗП 2018-2019</w:t>
      </w:r>
      <w:r w:rsidR="005A4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7E">
        <w:rPr>
          <w:rFonts w:ascii="Times New Roman" w:hAnsi="Times New Roman" w:cs="Times New Roman"/>
          <w:b/>
          <w:sz w:val="24"/>
          <w:szCs w:val="24"/>
        </w:rPr>
        <w:t>г</w:t>
      </w:r>
      <w:r w:rsidR="005A497E">
        <w:rPr>
          <w:rFonts w:ascii="Times New Roman" w:hAnsi="Times New Roman" w:cs="Times New Roman"/>
          <w:b/>
          <w:sz w:val="24"/>
          <w:szCs w:val="24"/>
        </w:rPr>
        <w:t>г</w:t>
      </w:r>
      <w:r w:rsidRPr="005A497E">
        <w:rPr>
          <w:rFonts w:ascii="Times New Roman" w:hAnsi="Times New Roman" w:cs="Times New Roman"/>
          <w:b/>
          <w:sz w:val="24"/>
          <w:szCs w:val="24"/>
        </w:rPr>
        <w:t xml:space="preserve"> и подготовке к ОЗП 2019-2020г</w:t>
      </w:r>
      <w:r w:rsidR="005A497E">
        <w:rPr>
          <w:rFonts w:ascii="Times New Roman" w:hAnsi="Times New Roman" w:cs="Times New Roman"/>
          <w:b/>
          <w:sz w:val="24"/>
          <w:szCs w:val="24"/>
        </w:rPr>
        <w:t>г</w:t>
      </w:r>
      <w:r w:rsidRPr="005A49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 Управляющая компания работает на территории ГО Верхняя Тура с 1 декабря 2012г. Основное направление деятельности компании – управление, обслуживание и содержание жилого многоквартирного фонда города в надлежащем состоянии, соответствующем нормам, СНиПам, ГОСТам и законам РФ.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В настоящее время в управлении находятся 83 МКД общей площадью 141 627,46 м2.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На всех домах выбраны председатель и совет МКД.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1.Общее направление по работе с жителями и их информированию.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Ведется постоянная работа и улучшение ее качества в этом направлении.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Правительства Российской Федерации от 23.09.2010 № 731 « Об утверждении стандарта раскрытия информации…» размещена информация об обслуживаемом жилищном фонде, выполняемых работах, а также реквизиты Управляющей компании на сайте Государственной информационной системы ГИС ЖКХ </w:t>
      </w:r>
      <w:hyperlink r:id="rId8" w:history="1">
        <w:r w:rsidRPr="005A497E">
          <w:rPr>
            <w:rStyle w:val="a9"/>
            <w:rFonts w:ascii="Times New Roman" w:hAnsi="Times New Roman" w:cs="Times New Roman"/>
            <w:sz w:val="24"/>
            <w:szCs w:val="24"/>
          </w:rPr>
          <w:t>https://dom.gosuslugi.ru</w:t>
        </w:r>
      </w:hyperlink>
      <w:r w:rsidRPr="005A497E">
        <w:rPr>
          <w:rFonts w:ascii="Times New Roman" w:hAnsi="Times New Roman" w:cs="Times New Roman"/>
          <w:sz w:val="24"/>
          <w:szCs w:val="24"/>
        </w:rPr>
        <w:t xml:space="preserve">, а также создан сайт УК в сети Интернет по адресу </w:t>
      </w:r>
      <w:hyperlink r:id="rId9" w:history="1">
        <w:r w:rsidRPr="005A497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497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5A497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ukvt</w:t>
        </w:r>
        <w:r w:rsidRPr="005A497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A497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4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4F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2.Прохождение отопительного сезона 2018-19г.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 xml:space="preserve">При прохождении отопительного сезона, услуги по теплоснабжению оказывались на хорошем уровне, о чем свидетельствует небольшое количество заявлений поступивших в службу АДС. 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>Серьезных и массовых нарушений в подачи ГВС не было, о чем так же свидетельствует количество заявлений поступивших в службу АДС и приемную, поэтому качество предоставления услуги ГВС можно охарактеризовать как удовлетворительное.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>При прохождении ОЗП аварийных ситуаций, связанных с длительным отключением потребителей (более суток), не зафиксировано.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>Возникающие локальные ситуации, связанные с некачественным предоставлением услуги по теплоснабжению (температура в помещении ниже установленной нормативами), решались рабочем порядке.</w:t>
      </w:r>
    </w:p>
    <w:p w:rsidR="00B47D4F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>В период прохождения ОЗП, а именно с</w:t>
      </w:r>
      <w:r w:rsidRPr="005A497E">
        <w:rPr>
          <w:rFonts w:ascii="Times New Roman" w:hAnsi="Times New Roman" w:cs="Times New Roman"/>
          <w:sz w:val="24"/>
          <w:szCs w:val="24"/>
        </w:rPr>
        <w:t xml:space="preserve"> 15.09.2018г. по 01.05.2019г. в диспетчерскую службу поступили следующие заявки:</w:t>
      </w:r>
    </w:p>
    <w:p w:rsidR="00C04F3F" w:rsidRPr="005A497E" w:rsidRDefault="00C04F3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238"/>
        <w:gridCol w:w="1338"/>
        <w:gridCol w:w="1417"/>
      </w:tblGrid>
      <w:tr w:rsidR="00B47D4F" w:rsidRPr="005A497E" w:rsidTr="00C04F3F">
        <w:tc>
          <w:tcPr>
            <w:tcW w:w="674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2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Характер заявки</w:t>
            </w:r>
          </w:p>
        </w:tc>
        <w:tc>
          <w:tcPr>
            <w:tcW w:w="13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47D4F" w:rsidRPr="005A497E" w:rsidTr="00C04F3F">
        <w:tc>
          <w:tcPr>
            <w:tcW w:w="67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3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</w:tr>
      <w:tr w:rsidR="00B47D4F" w:rsidRPr="005A497E" w:rsidTr="00C04F3F">
        <w:tc>
          <w:tcPr>
            <w:tcW w:w="67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3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B47D4F" w:rsidRPr="005A497E" w:rsidTr="00C04F3F">
        <w:tc>
          <w:tcPr>
            <w:tcW w:w="67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3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</w:tr>
      <w:tr w:rsidR="00B47D4F" w:rsidRPr="005A497E" w:rsidTr="00C04F3F">
        <w:tc>
          <w:tcPr>
            <w:tcW w:w="67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3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</w:t>
            </w:r>
          </w:p>
        </w:tc>
      </w:tr>
      <w:tr w:rsidR="00B47D4F" w:rsidRPr="005A497E" w:rsidTr="00C04F3F">
        <w:tc>
          <w:tcPr>
            <w:tcW w:w="67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</w:tr>
      <w:tr w:rsidR="00B47D4F" w:rsidRPr="005A497E" w:rsidTr="00C04F3F">
        <w:tc>
          <w:tcPr>
            <w:tcW w:w="67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Прочие (строительные, конструктивные элементы и т.д.)</w:t>
            </w:r>
          </w:p>
        </w:tc>
        <w:tc>
          <w:tcPr>
            <w:tcW w:w="13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B47D4F" w:rsidRPr="005A497E" w:rsidTr="00C04F3F">
        <w:trPr>
          <w:trHeight w:val="184"/>
        </w:trPr>
        <w:tc>
          <w:tcPr>
            <w:tcW w:w="67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38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1880</w:t>
            </w:r>
          </w:p>
        </w:tc>
      </w:tr>
    </w:tbl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4F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Так же в течении отопительного периода осуществлена замена стояков отопления, холодного и горячего водоснабжения и ремонт канализации в следующих количествах:</w:t>
      </w:r>
    </w:p>
    <w:p w:rsidR="00C04F3F" w:rsidRPr="005A497E" w:rsidRDefault="00C04F3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1701"/>
        <w:gridCol w:w="1701"/>
      </w:tblGrid>
      <w:tr w:rsidR="00B47D4F" w:rsidRPr="005A497E" w:rsidTr="00C04F3F">
        <w:trPr>
          <w:trHeight w:val="726"/>
        </w:trPr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 работ)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Кол-во замененных стояков,шт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Общее кол-во погонных метров/шт</w:t>
            </w:r>
          </w:p>
        </w:tc>
      </w:tr>
      <w:tr w:rsidR="00B47D4F" w:rsidRPr="005A497E" w:rsidTr="00C04F3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B47D4F" w:rsidRPr="005A497E" w:rsidTr="00C04F3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B47D4F" w:rsidRPr="005A497E" w:rsidTr="00C04F3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47D4F" w:rsidRPr="005A497E" w:rsidTr="00C04F3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</w:tr>
      <w:tr w:rsidR="00B47D4F" w:rsidRPr="005A497E" w:rsidTr="00C04F3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Периметр ГВС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B47D4F" w:rsidRPr="005A497E" w:rsidTr="00C04F3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Периметр ХВС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B47D4F" w:rsidRPr="005A497E" w:rsidTr="00C04F3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</w:t>
            </w: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D4F" w:rsidRPr="005A497E" w:rsidTr="00C04F3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выключатели(рубильники)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</w:tr>
    </w:tbl>
    <w:p w:rsidR="00C04F3F" w:rsidRDefault="00C04F3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Выполнены работы по косметическому ремонту подъездов: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Машиностроителей 23 – 1,2 3 подъезды.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Гробова 2а – 1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Лермонтова 16 – 5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Бажова 24 – 1, 2 подъезды.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К. Либкнехта 173 – 1, 2 подъезды.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Машиностроителей 9а – 2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Гробова 2в – 5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8-е Марта 12 – 1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Всего отремонтировано в 12 подъездах.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При проведении косметического ремонта выполняется замена сетей освещения с установкой светодиодных светильников с датчиками движения и освещенности. Также для приведения в надлежащий вид сетей связи привлекаются организации-провайдеры К-Телеком и ООО «УралПромсервис».   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      </w:t>
      </w:r>
      <w:r w:rsidRPr="005A497E">
        <w:rPr>
          <w:rFonts w:ascii="Times New Roman" w:hAnsi="Times New Roman" w:cs="Times New Roman"/>
          <w:b/>
          <w:sz w:val="24"/>
          <w:szCs w:val="24"/>
        </w:rPr>
        <w:t>3. Прохождение паводкого периода</w:t>
      </w:r>
      <w:r w:rsidRPr="005A497E">
        <w:rPr>
          <w:rFonts w:ascii="Times New Roman" w:hAnsi="Times New Roman" w:cs="Times New Roman"/>
          <w:sz w:val="24"/>
          <w:szCs w:val="24"/>
        </w:rPr>
        <w:t>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- Во время весеннего паводка выполнялись следующие работы: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- Очистка кровли домов от наледи и снега.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- Очистка фундаментов домов от снега.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За время паводкого периода были выявлены следующие проблемы: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Недостаточное утепление кровель ряда жилых домов, а именно: ул. Володарского 29, 8-е Марта 7а. На данных кровлях обильно образуется наледь, а также наблюдается снижение температуры внутреннего воздуха в квартирах верхних этажей. На данных домах необходимо проведение капитального ремонта кровли с устройством дополнительного утепляющего слоя. Сметная стоимость работ по капитальному ремонту кровли Володарского 29 составляет – 3 194 968 руб, 8-е Марта 7А – 3 873 697 руб.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217"/>
        <w:gridCol w:w="3712"/>
        <w:gridCol w:w="2725"/>
      </w:tblGrid>
      <w:tr w:rsidR="00B47D4F" w:rsidRPr="005A497E" w:rsidTr="00C04F3F">
        <w:trPr>
          <w:trHeight w:val="11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b/>
                <w:sz w:val="24"/>
                <w:szCs w:val="24"/>
              </w:rPr>
              <w:t>4.Подготовка жилого фонда к отопительному сезону 2018-2019гг.</w:t>
            </w:r>
          </w:p>
        </w:tc>
      </w:tr>
      <w:tr w:rsidR="00B47D4F" w:rsidRPr="005A497E" w:rsidTr="00C04F3F">
        <w:trPr>
          <w:trHeight w:val="11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подготовки к отопительному сезону планируется произвести следующие виды и объемы работ на многоквартирных домах:</w:t>
            </w: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1.Отопление, замена на сумму 286 000 руб: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40м трубопровода.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35 единиц запорной арматуры.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65 м стояков отопления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2. Холодное и горячее водоснабжение, замена на сумму 150 000 руб:</w:t>
            </w:r>
          </w:p>
        </w:tc>
      </w:tr>
      <w:tr w:rsidR="00B47D4F" w:rsidRPr="005A497E" w:rsidTr="00C04F3F">
        <w:trPr>
          <w:trHeight w:val="113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35 м трубопровода.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24 единиц запорной арматуры.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50 м стояков ГВС и ХВС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3. канализационные сети, замена на сумму 75 000: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19 м стояков канализации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4. Кровля, замена/вновь покрытие на сумму 560 000 руб: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800 м2 мягкой кровли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45 м2 шиферной кровли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5. Электрические сети, замена на сумму 360 000 руб: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900 м общедомовых сетей.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C04F3F">
        <w:trPr>
          <w:trHeight w:val="9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   Сумма средств запланированных на проведение данных работ составляет  </w:t>
            </w:r>
          </w:p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1 431000 руб. </w:t>
            </w:r>
          </w:p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средства собственников и нанимателей </w:t>
            </w:r>
          </w:p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МКД ГО Верхняя Тура</w:t>
            </w:r>
          </w:p>
        </w:tc>
      </w:tr>
    </w:tbl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5.</w:t>
      </w:r>
      <w:r w:rsidR="00C04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7E">
        <w:rPr>
          <w:rFonts w:ascii="Times New Roman" w:hAnsi="Times New Roman" w:cs="Times New Roman"/>
          <w:b/>
          <w:sz w:val="24"/>
          <w:szCs w:val="24"/>
        </w:rPr>
        <w:t>Уборка придомовой территории МКД.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На сегодняшний день весь город разделен на 7 кварталов (мкр.районов), общее количество работников занятых на уборке ПДТ составляет 9 чел. Анализ расходной части </w:t>
      </w:r>
      <w:r w:rsidRPr="005A497E">
        <w:rPr>
          <w:rFonts w:ascii="Times New Roman" w:hAnsi="Times New Roman" w:cs="Times New Roman"/>
          <w:sz w:val="24"/>
          <w:szCs w:val="24"/>
        </w:rPr>
        <w:lastRenderedPageBreak/>
        <w:t xml:space="preserve">на уборку ПДТ показывает отсутствие возможности качественной уборки ПДТ, ввиду недостаточности тарифа для выплаты более достойной заработной платы дворникам, тем самым наличия возможности к стимулированию рабочих. 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b/>
          <w:color w:val="000000"/>
          <w:sz w:val="24"/>
          <w:szCs w:val="24"/>
        </w:rPr>
        <w:t>6.Задолженности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color w:val="000000"/>
          <w:sz w:val="24"/>
          <w:szCs w:val="24"/>
        </w:rPr>
        <w:t xml:space="preserve">    Задолженность населения за жилищно-коммунальные услуги по состоянию на </w:t>
      </w:r>
      <w:r w:rsidRPr="005A497E">
        <w:rPr>
          <w:rFonts w:ascii="Times New Roman" w:hAnsi="Times New Roman" w:cs="Times New Roman"/>
          <w:b/>
          <w:color w:val="000000"/>
          <w:sz w:val="24"/>
          <w:szCs w:val="24"/>
        </w:rPr>
        <w:t>30.04.2019г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. составляет 9 456</w:t>
      </w:r>
      <w:r w:rsidRPr="005A49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416,6 рублей.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При этом % собираемости за жилищные услуги составляет 94,15%.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Задолженность юридических лиц  за жилищные услуги по состоянию на </w:t>
      </w:r>
      <w:r w:rsidRPr="005A497E">
        <w:rPr>
          <w:rFonts w:ascii="Times New Roman" w:hAnsi="Times New Roman" w:cs="Times New Roman"/>
          <w:b/>
          <w:color w:val="000000"/>
          <w:sz w:val="24"/>
          <w:szCs w:val="24"/>
        </w:rPr>
        <w:t>30.04.2019г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. составляет 307 556,09</w:t>
      </w:r>
      <w:r w:rsidRPr="005A497E">
        <w:rPr>
          <w:rFonts w:ascii="Times New Roman" w:hAnsi="Times New Roman" w:cs="Times New Roman"/>
          <w:sz w:val="24"/>
          <w:szCs w:val="24"/>
        </w:rPr>
        <w:t xml:space="preserve"> 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color w:val="000000"/>
          <w:sz w:val="24"/>
          <w:szCs w:val="24"/>
        </w:rPr>
        <w:t xml:space="preserve">Общая дебиторская задолженность составляет </w:t>
      </w:r>
      <w:r w:rsidRPr="005A497E">
        <w:rPr>
          <w:rFonts w:ascii="Times New Roman" w:hAnsi="Times New Roman" w:cs="Times New Roman"/>
          <w:b/>
          <w:color w:val="000000"/>
          <w:sz w:val="24"/>
          <w:szCs w:val="24"/>
        </w:rPr>
        <w:t>9 772 972,69 руб.</w:t>
      </w:r>
    </w:p>
    <w:p w:rsidR="00B47D4F" w:rsidRPr="005A497E" w:rsidRDefault="00B47D4F" w:rsidP="005A497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ООО «УК Верхнетуринская» на </w:t>
      </w:r>
      <w:r w:rsidRPr="005A497E">
        <w:rPr>
          <w:rFonts w:ascii="Times New Roman" w:hAnsi="Times New Roman" w:cs="Times New Roman"/>
          <w:b/>
          <w:sz w:val="24"/>
          <w:szCs w:val="24"/>
        </w:rPr>
        <w:t xml:space="preserve">30.04.2019г. </w:t>
      </w:r>
      <w:r w:rsidRPr="005A497E">
        <w:rPr>
          <w:rFonts w:ascii="Times New Roman" w:hAnsi="Times New Roman" w:cs="Times New Roman"/>
          <w:sz w:val="24"/>
          <w:szCs w:val="24"/>
        </w:rPr>
        <w:tab/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ООО «ПМ Технология» – 54 001,88 руб. 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МУП «Тура Энерго» 265 794,22 руб.</w:t>
      </w:r>
    </w:p>
    <w:p w:rsidR="005A497E" w:rsidRDefault="00B47D4F" w:rsidP="005A497E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АО «Энергосбыт Плюс» - 2 011 415,51 руб.</w:t>
      </w:r>
      <w:r w:rsidR="005A497E" w:rsidRPr="005A4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497E" w:rsidRDefault="005A497E" w:rsidP="005A497E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D4F" w:rsidRPr="005A497E" w:rsidRDefault="005A497E" w:rsidP="005A497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Дополнение к отчету на Думу ГО Верхняя Тура по прохождению ОЗП 2018-2019гг.</w:t>
      </w:r>
    </w:p>
    <w:tbl>
      <w:tblPr>
        <w:tblW w:w="95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3827"/>
        <w:gridCol w:w="3614"/>
      </w:tblGrid>
      <w:tr w:rsidR="00B47D4F" w:rsidRPr="005A497E" w:rsidTr="00C04F3F">
        <w:trPr>
          <w:trHeight w:val="113"/>
        </w:trPr>
        <w:tc>
          <w:tcPr>
            <w:tcW w:w="9578" w:type="dxa"/>
            <w:gridSpan w:val="3"/>
            <w:shd w:val="clear" w:color="auto" w:fill="auto"/>
            <w:vAlign w:val="bottom"/>
            <w:hideMark/>
          </w:tcPr>
          <w:p w:rsidR="00C04F3F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замененных участков общедомовых сетей </w:t>
            </w:r>
          </w:p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с сентября 2018 по май 2019 г.</w:t>
            </w:r>
          </w:p>
        </w:tc>
      </w:tr>
      <w:tr w:rsidR="00B47D4F" w:rsidRPr="005A497E" w:rsidTr="00C04F3F">
        <w:trPr>
          <w:trHeight w:val="312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№, № квартир</w:t>
            </w:r>
          </w:p>
        </w:tc>
      </w:tr>
      <w:tr w:rsidR="00B47D4F" w:rsidRPr="005A497E" w:rsidTr="00C04F3F">
        <w:trPr>
          <w:trHeight w:val="227"/>
        </w:trPr>
        <w:tc>
          <w:tcPr>
            <w:tcW w:w="9578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Холодное водоснабжение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2,3,подвал.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173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10,13.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2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23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ХВС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11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1,2,3,4-ремонт периметра ХВС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86,89,83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173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</w:tr>
      <w:tr w:rsidR="00B47D4F" w:rsidRPr="005A497E" w:rsidTr="00C04F3F">
        <w:trPr>
          <w:trHeight w:val="227"/>
        </w:trPr>
        <w:tc>
          <w:tcPr>
            <w:tcW w:w="9578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Горячее водоснабжение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29,32.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№18-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18,21.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63,66,подвал.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фев.00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86,89,83</w:t>
            </w:r>
          </w:p>
        </w:tc>
      </w:tr>
      <w:tr w:rsidR="00B47D4F" w:rsidRPr="005A497E" w:rsidTr="00C04F3F">
        <w:trPr>
          <w:trHeight w:val="227"/>
        </w:trPr>
        <w:tc>
          <w:tcPr>
            <w:tcW w:w="9578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1,4,7,10,13-зало,кухня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53,57,маг."Екатерина"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16,40,4эт.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21,24,27-зало,кухня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11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16,20.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19Б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109,111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3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3,7-ремонт  периметра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7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5-ремонт периметра 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9 -ремонт  системы  отопления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 отопления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31,34 -зало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1 (периметр)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50,подвал -кухня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32,35,38 -зало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25,28 -кухня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34,37,40 -зало,кухня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31,34,37,40,43 -ком-ты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7,9 маг."Лидер",подвал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 26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 3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62,65 -кухня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3,маг."Лидер",подвал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4,8,12,16,20 в ванной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3,ком.на 3 эт.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49 -спальная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59,62,65,68,71 -в 3-х ком-ах,кухне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32,35 в ком-те,кухне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11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16,20,24 в ком-те,кухне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30- в ванной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23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25,28-на кухне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2 -рем.системы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21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12,14,15 -в ком-те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3,6,9,12,15-в зало-два стояка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26А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2,3-зам.периметра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26А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5,6-зам.периметра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11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7,10,13.-в зало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1А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47-в ком-те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1А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52,55- в ком-те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54,57 на кухне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11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88 -в ком-те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63,66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23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33,36,39,42,45 -в зало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14-ремонт периметра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17,20 -на кухне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80,83 -в ком-те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Грушина 96 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36,38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38,41,44-спальная 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22,25,28,31,34-зало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52,маг."Елена"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29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3,7 -кухня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176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70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8-периметр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13-периметр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6-периметр</w:t>
            </w:r>
          </w:p>
        </w:tc>
      </w:tr>
      <w:tr w:rsidR="00B47D4F" w:rsidRPr="005A497E" w:rsidTr="00C04F3F">
        <w:trPr>
          <w:trHeight w:val="227"/>
        </w:trPr>
        <w:tc>
          <w:tcPr>
            <w:tcW w:w="9578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Отопление в подъездах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15А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1А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26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172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 под-д=монтаж отопления по этажам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 под-д=монтаж отопления по этажам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11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подъезд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Машиностроителей 7А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подъезд-замена водосточной трубы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 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под-д= ремонт отопления 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0000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Подвалы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стояков   ХВС,ГВС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стояка ГВС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19Б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стояка отопл-я по кв.109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19Б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ХВС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периметра  ХВС,ГВС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3 -1 секция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ХВС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лежака канализационного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5А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трубы  ХВС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4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стояка  ХВС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насоса циркуляц-го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Володавского 3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бойлера</w:t>
            </w:r>
          </w:p>
        </w:tc>
      </w:tr>
      <w:tr w:rsidR="00B47D4F" w:rsidRPr="005A497E" w:rsidTr="00C04F3F">
        <w:trPr>
          <w:trHeight w:val="227"/>
        </w:trPr>
        <w:tc>
          <w:tcPr>
            <w:tcW w:w="9578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Канализация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29,с выходом на крышу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13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под-д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под-д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18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11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под-д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11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помещение 1 эт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10,13,16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63,67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Грушина 98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82,85,88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3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10,14,15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47D4F" w:rsidRPr="005A497E" w:rsidTr="00C04F3F">
        <w:trPr>
          <w:trHeight w:val="227"/>
        </w:trPr>
        <w:tc>
          <w:tcPr>
            <w:tcW w:w="9578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B47D4F" w:rsidRPr="005A497E" w:rsidTr="00C04F3F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8-е Марта 12-2 под-д,1 эт.,тамбур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66-1 под-д,3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2А-4 под-д,5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9А-5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11-6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эл.кабеля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эл.кабеля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№172-1,2,3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прожектора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29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эл.щита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23-1 под-д,1-5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9-2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22-1,2 под-д,1,2 этаж.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№12-1 под-д,1-5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1А-1 под-д,1-5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26А-1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23-2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2А-2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8А-1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№18-1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лампы ДРЛ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2В-4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лампы ДРЛ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датчика  на УУТЭ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9 -1 под-д,2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21 -2 под-д,3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16-5 под-д,1-5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Железнодорожников 66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кабеля,установка уличного освещ-я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фасаде дома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16-73,74,75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демонтаж и монтаж кабеля от </w:t>
            </w: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траверсы до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79-гл.эл.щит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ПУ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20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 кабеля по чердаку,в под-дах,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эл.щитов,рубильника,автоматов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24=2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провода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8А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трансформатора тока ТТИА 220/5А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8Б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трансформатора тока ТТИА 220/5А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18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2-1,2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9А-2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88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20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21-6под-д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18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эл.освещения придомового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эл.освещения придомового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22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эл.освещения придомового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23-6под-д-1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66-1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9А=38-43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9А=9-14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22-1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19Б-4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трансформатора тока ТТИА 150/5А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12-2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12=1-6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12-гл.эл.щит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вставок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12-80,81,82,85,86,87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Иканина 79-подвал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ПУ на тепло и ХВС,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Иканина 88-7,10,11,12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 монтаж кабеля от рубильника до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19Б-гл.эл.щит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трансформатора тока ТОМ-0,66 100/5А,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ПУ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22-2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1А-2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1А-2 под-д,3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8А-2,3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18-1 под-д,3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1А-6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Иканина 88- 2под-д 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кабеля,светильника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2Б-5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провода,автомата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14-3 под-д,4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18-10,11,12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7А-13,14,15;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7А-19,20,21;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7А-40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9А-3 под-д,5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23-2 под-д,5 </w:t>
            </w: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7А-3 под-д,тамбур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18-64,65,66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19А-46,47,48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19А-49,50,51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Совхозная 18=21,22,23,24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16-49,50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1А=52,53,54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12 -подвал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прокладка,монтаж кабеля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19А-гл.эл.щит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разъединителя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Гробова 2В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освещения уличного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Совхозная 20=2 под-д,1,2,3 эт.</w:t>
            </w:r>
          </w:p>
        </w:tc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кабеля,автомата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Гробова 29-1 под-д,1 эт.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C04F3F">
        <w:trPr>
          <w:trHeight w:val="20"/>
        </w:trPr>
        <w:tc>
          <w:tcPr>
            <w:tcW w:w="9578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Конструктивные элементы и прочие работы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№18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фасада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№26-1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уст-ка двери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№ 24-1под-д,кв№8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и монтаж трубы печной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№11-2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козырька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№13-14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балкона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№23-3 под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уст-ка двери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№1А -32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рем.тепловых швов с фасада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№11-1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C04F3F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хоз.помещения,</w:t>
            </w:r>
          </w:p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водопровода,уст-ка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№7А-4 под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и монтаж  водостока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№12-1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№9А-1 под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лест.маршей,ступеней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№2А-1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№1А -45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№2В-29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№9А-12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№8Б-11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№7-5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№ 24-1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№79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кровли -парапета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№18-43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№2А-1,2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изгот-е и уст-ка стоек для сушки белья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№19А-5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перил перед под-ом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№12-1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№16-5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№2А-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лестничного марша на улице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C04F3F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противопол-й стороне </w:t>
            </w:r>
          </w:p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под-да.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13-1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утепление двери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№19Б-4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входной группы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Строителей 5-15 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вент.канала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№19А-5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изгот-е и уст-ка скамейки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№9А-2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№2В-5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 7А-1 подъезд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водостока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12-6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изготовл-е и уст-ка перил у под-да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1-2 под-д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пола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28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конька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№18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№22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№24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№26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11</w:t>
            </w:r>
          </w:p>
        </w:tc>
        <w:tc>
          <w:tcPr>
            <w:tcW w:w="3614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Строителей 5-15 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вент.канала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3-2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пола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№20-2 под-д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кладка трубы печной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№2В-1 секция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C04F3F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мачты </w:t>
            </w:r>
          </w:p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(уличное освещ-е)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№23-2 подъезд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C04F3F">
        <w:trPr>
          <w:trHeight w:val="20"/>
        </w:trPr>
        <w:tc>
          <w:tcPr>
            <w:tcW w:w="9578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 в подвале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11-подвал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зам.запорной арматуры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№18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зам.запорной арматуры</w:t>
            </w:r>
          </w:p>
        </w:tc>
      </w:tr>
      <w:tr w:rsidR="00B47D4F" w:rsidRPr="005A497E" w:rsidTr="00C04F3F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15А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зам.запорной арматуры</w:t>
            </w:r>
          </w:p>
        </w:tc>
      </w:tr>
    </w:tbl>
    <w:p w:rsidR="00B47D4F" w:rsidRPr="005A497E" w:rsidRDefault="00B47D4F" w:rsidP="00C04F3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D4F" w:rsidRPr="005A497E" w:rsidSect="00C04F3F">
      <w:headerReference w:type="default" r:id="rId10"/>
      <w:pgSz w:w="11906" w:h="16838"/>
      <w:pgMar w:top="993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11" w:rsidRDefault="00107F11" w:rsidP="00B47D4F">
      <w:pPr>
        <w:spacing w:after="0" w:line="240" w:lineRule="auto"/>
      </w:pPr>
      <w:r>
        <w:separator/>
      </w:r>
    </w:p>
  </w:endnote>
  <w:endnote w:type="continuationSeparator" w:id="1">
    <w:p w:rsidR="00107F11" w:rsidRDefault="00107F11" w:rsidP="00B4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11" w:rsidRDefault="00107F11" w:rsidP="00B47D4F">
      <w:pPr>
        <w:spacing w:after="0" w:line="240" w:lineRule="auto"/>
      </w:pPr>
      <w:r>
        <w:separator/>
      </w:r>
    </w:p>
  </w:footnote>
  <w:footnote w:type="continuationSeparator" w:id="1">
    <w:p w:rsidR="00107F11" w:rsidRDefault="00107F11" w:rsidP="00B4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905"/>
      <w:docPartObj>
        <w:docPartGallery w:val="Page Numbers (Top of Page)"/>
        <w:docPartUnique/>
      </w:docPartObj>
    </w:sdtPr>
    <w:sdtContent>
      <w:p w:rsidR="00974000" w:rsidRDefault="00974000" w:rsidP="00CF155B">
        <w:pPr>
          <w:pStyle w:val="a3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C23"/>
    <w:multiLevelType w:val="hybridMultilevel"/>
    <w:tmpl w:val="11CAD1AA"/>
    <w:lvl w:ilvl="0" w:tplc="1F4AC64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634C"/>
    <w:multiLevelType w:val="hybridMultilevel"/>
    <w:tmpl w:val="B7ACD86C"/>
    <w:lvl w:ilvl="0" w:tplc="BBE0F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7E1AEE"/>
    <w:multiLevelType w:val="hybridMultilevel"/>
    <w:tmpl w:val="AA786F30"/>
    <w:lvl w:ilvl="0" w:tplc="4822D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E4A"/>
    <w:rsid w:val="000034B8"/>
    <w:rsid w:val="00107F11"/>
    <w:rsid w:val="0011210B"/>
    <w:rsid w:val="001241E1"/>
    <w:rsid w:val="00161141"/>
    <w:rsid w:val="00213C89"/>
    <w:rsid w:val="0022133B"/>
    <w:rsid w:val="0029622D"/>
    <w:rsid w:val="002C7B18"/>
    <w:rsid w:val="002F39FF"/>
    <w:rsid w:val="002F6F56"/>
    <w:rsid w:val="00316DB5"/>
    <w:rsid w:val="00336B75"/>
    <w:rsid w:val="00351137"/>
    <w:rsid w:val="0040059D"/>
    <w:rsid w:val="004B4F60"/>
    <w:rsid w:val="005347FF"/>
    <w:rsid w:val="0055452E"/>
    <w:rsid w:val="005A497E"/>
    <w:rsid w:val="005F01B6"/>
    <w:rsid w:val="006F517F"/>
    <w:rsid w:val="0077382C"/>
    <w:rsid w:val="00795BD9"/>
    <w:rsid w:val="007E4177"/>
    <w:rsid w:val="007E7A57"/>
    <w:rsid w:val="00813A3A"/>
    <w:rsid w:val="00846A84"/>
    <w:rsid w:val="00880C36"/>
    <w:rsid w:val="00897B27"/>
    <w:rsid w:val="008C2C0A"/>
    <w:rsid w:val="008D03A7"/>
    <w:rsid w:val="0093337D"/>
    <w:rsid w:val="00974000"/>
    <w:rsid w:val="009E6E4A"/>
    <w:rsid w:val="00A65644"/>
    <w:rsid w:val="00B070AC"/>
    <w:rsid w:val="00B45E33"/>
    <w:rsid w:val="00B47D4F"/>
    <w:rsid w:val="00C04F3F"/>
    <w:rsid w:val="00CF155B"/>
    <w:rsid w:val="00D33966"/>
    <w:rsid w:val="00D429FA"/>
    <w:rsid w:val="00D45C89"/>
    <w:rsid w:val="00D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D4F"/>
  </w:style>
  <w:style w:type="paragraph" w:styleId="a5">
    <w:name w:val="footer"/>
    <w:basedOn w:val="a"/>
    <w:link w:val="a6"/>
    <w:uiPriority w:val="99"/>
    <w:semiHidden/>
    <w:unhideWhenUsed/>
    <w:rsid w:val="00B4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D4F"/>
  </w:style>
  <w:style w:type="table" w:styleId="a7">
    <w:name w:val="Table Grid"/>
    <w:basedOn w:val="a1"/>
    <w:uiPriority w:val="59"/>
    <w:rsid w:val="00B47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7D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B47D4F"/>
  </w:style>
  <w:style w:type="character" w:styleId="a9">
    <w:name w:val="Hyperlink"/>
    <w:uiPriority w:val="99"/>
    <w:unhideWhenUsed/>
    <w:rsid w:val="00B47D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7D4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47D4F"/>
    <w:rPr>
      <w:rFonts w:ascii="Tahoma" w:eastAsia="Calibri" w:hAnsi="Tahoma" w:cs="Times New Roman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97B27"/>
  </w:style>
  <w:style w:type="table" w:customStyle="1" w:styleId="10">
    <w:name w:val="Сетка таблицы1"/>
    <w:basedOn w:val="a1"/>
    <w:next w:val="a7"/>
    <w:uiPriority w:val="59"/>
    <w:rsid w:val="00897B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k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21</Pages>
  <Words>7884</Words>
  <Characters>44940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2019-05-24T03:26:00Z</cp:lastPrinted>
  <dcterms:created xsi:type="dcterms:W3CDTF">2019-05-14T09:06:00Z</dcterms:created>
  <dcterms:modified xsi:type="dcterms:W3CDTF">2019-05-24T03:43:00Z</dcterms:modified>
</cp:coreProperties>
</file>