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FB" w:rsidRDefault="00956D31">
      <w:pPr>
        <w:spacing w:after="0"/>
        <w:rPr>
          <w:rFonts w:ascii="Liberation Serif" w:eastAsia="Arial Unicode MS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eastAsia="Arial Unicode MS" w:hAnsi="Liberation Serif" w:cs="Liberation Serif"/>
          <w:sz w:val="28"/>
          <w:szCs w:val="28"/>
        </w:rPr>
        <w:t>Постановление главы Городского округа Верхняя Тура</w:t>
      </w:r>
    </w:p>
    <w:p w:rsidR="00FF42FB" w:rsidRDefault="00956D31">
      <w:pPr>
        <w:spacing w:after="0"/>
        <w:ind w:left="9072" w:hanging="9072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от 14.02.2022г. № 43</w:t>
      </w: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 w:line="21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956D31">
      <w:pPr>
        <w:spacing w:after="0"/>
        <w:jc w:val="center"/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мероприятий (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«дорожной карты») по повышению позиций Городского округа Верхняя </w:t>
      </w:r>
      <w:r>
        <w:rPr>
          <w:rFonts w:ascii="Liberation Serif" w:hAnsi="Liberation Serif" w:cs="Liberation Serif"/>
          <w:b/>
          <w:i/>
          <w:color w:val="000000"/>
          <w:sz w:val="28"/>
          <w:szCs w:val="28"/>
        </w:rPr>
        <w:t>Тура в Национальном рейтинге состояния инвестиционного климата в Свердловской области на 2022 год</w:t>
      </w:r>
    </w:p>
    <w:p w:rsidR="00FF42FB" w:rsidRDefault="00FF42FB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FF42FB" w:rsidRDefault="00956D31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целях достижения высоких значений показателей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Национального рейтинга состояния инвестиционного климата в субъектах Российской Федерации, рассчитываемого </w:t>
      </w:r>
      <w:r>
        <w:rPr>
          <w:rFonts w:ascii="Liberation Serif" w:hAnsi="Liberation Serif" w:cs="Liberation Serif"/>
          <w:sz w:val="28"/>
          <w:szCs w:val="28"/>
        </w:rPr>
        <w:t>автономной некоммерческой организацией «Агентство стратегических инициатив по продвижению новых проектов»,</w:t>
      </w:r>
    </w:p>
    <w:p w:rsidR="00FF42FB" w:rsidRDefault="00956D31">
      <w:pPr>
        <w:autoSpaceDE w:val="0"/>
        <w:spacing w:after="0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F42FB" w:rsidRDefault="00956D31">
      <w:pPr>
        <w:autoSpaceDE w:val="0"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1.</w:t>
      </w:r>
      <w:r>
        <w:t> </w:t>
      </w:r>
      <w:r>
        <w:rPr>
          <w:rFonts w:ascii="Liberation Serif" w:hAnsi="Liberation Serif" w:cs="Liberation Serif"/>
          <w:sz w:val="28"/>
          <w:szCs w:val="28"/>
        </w:rPr>
        <w:t>Утвердить План мероприятий (</w:t>
      </w:r>
      <w:r>
        <w:rPr>
          <w:rFonts w:ascii="Liberation Serif" w:hAnsi="Liberation Serif" w:cs="Liberation Serif"/>
          <w:color w:val="000000"/>
          <w:sz w:val="28"/>
          <w:szCs w:val="28"/>
        </w:rPr>
        <w:t>«дорожную карту») по повышению позиций Городского округа Верхняя Тура в Национальном рейтинге состояния и</w:t>
      </w:r>
      <w:r>
        <w:rPr>
          <w:rFonts w:ascii="Liberation Serif" w:hAnsi="Liberation Serif" w:cs="Liberation Serif"/>
          <w:color w:val="000000"/>
          <w:sz w:val="28"/>
          <w:szCs w:val="28"/>
        </w:rPr>
        <w:t>нвестиционного климата в Свердловской области на 2022 год (далее – План) (прилагается).</w:t>
      </w:r>
    </w:p>
    <w:p w:rsidR="00FF42FB" w:rsidRDefault="00956D31">
      <w:pPr>
        <w:autoSpaceDE w:val="0"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2.</w:t>
      </w:r>
      <w: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Ответственным за реализацию мероприятий и достижение планируемых значений показателей Плана:</w:t>
      </w:r>
    </w:p>
    <w:p w:rsidR="00FF42FB" w:rsidRDefault="00956D31">
      <w:pPr>
        <w:widowControl w:val="0"/>
        <w:tabs>
          <w:tab w:val="left" w:pos="1134"/>
        </w:tabs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r>
        <w:rPr>
          <w:rFonts w:ascii="Liberation Serif" w:hAnsi="Liberation Serif" w:cs="Liberation Serif"/>
          <w:sz w:val="28"/>
          <w:szCs w:val="28"/>
        </w:rPr>
        <w:t xml:space="preserve">обеспечить в установленные сроки реализацию мероприятий Плана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дост</w:t>
      </w:r>
      <w:r>
        <w:rPr>
          <w:rFonts w:ascii="Liberation Serif" w:hAnsi="Liberation Serif" w:cs="Liberation Serif"/>
          <w:sz w:val="28"/>
          <w:szCs w:val="28"/>
        </w:rPr>
        <w:t xml:space="preserve">ижение планируемых значений </w:t>
      </w:r>
      <w:r>
        <w:rPr>
          <w:rFonts w:ascii="Liberation Serif" w:hAnsi="Liberation Serif" w:cs="Liberation Serif"/>
          <w:color w:val="000000"/>
          <w:sz w:val="28"/>
          <w:szCs w:val="28"/>
        </w:rPr>
        <w:t>Плана</w:t>
      </w:r>
      <w:r>
        <w:rPr>
          <w:rFonts w:ascii="Liberation Serif" w:hAnsi="Liberation Serif" w:cs="Liberation Serif"/>
          <w:sz w:val="28"/>
          <w:szCs w:val="28"/>
        </w:rPr>
        <w:t xml:space="preserve"> по показателям Национального рейтинга состояния инвестиционного климата в Свердловской области;</w:t>
      </w:r>
    </w:p>
    <w:p w:rsidR="00FF42FB" w:rsidRDefault="00956D3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ежеквартально в срок до 13 числа месяца, следующего за отчетным периодом, представлять в планово-экономический отдел Админи</w:t>
      </w:r>
      <w:r>
        <w:rPr>
          <w:rFonts w:ascii="Liberation Serif" w:hAnsi="Liberation Serif" w:cs="Liberation Serif"/>
          <w:sz w:val="28"/>
          <w:szCs w:val="28"/>
        </w:rPr>
        <w:t>страции Городского округа Верхняя Тура сводный отчет о ходе выполнения мероприятий Плана. При наличии мероприятий, выполнение которых не обеспечено в установленный срок, к отчету необходимо прилагать аналитическую записку о причинах нарушения сроков выполн</w:t>
      </w:r>
      <w:r>
        <w:rPr>
          <w:rFonts w:ascii="Liberation Serif" w:hAnsi="Liberation Serif" w:cs="Liberation Serif"/>
          <w:sz w:val="28"/>
          <w:szCs w:val="28"/>
        </w:rPr>
        <w:t>ения таких мероприятий и предложения по обеспечению их выполнения.</w:t>
      </w:r>
    </w:p>
    <w:p w:rsidR="00FF42FB" w:rsidRDefault="00956D3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Тура.</w:t>
      </w:r>
    </w:p>
    <w:p w:rsidR="00FF42FB" w:rsidRDefault="00956D31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Контроль за исполнением настоящего постановления возложить на Первого заместителя главы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Эльвиру Рашитовну Дементьеву.</w:t>
      </w:r>
    </w:p>
    <w:p w:rsidR="00FF42FB" w:rsidRDefault="00FF42FB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F42FB" w:rsidRDefault="00FF42FB">
      <w:pPr>
        <w:widowControl w:val="0"/>
        <w:tabs>
          <w:tab w:val="left" w:pos="1134"/>
        </w:tabs>
        <w:autoSpaceDE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F42FB" w:rsidRDefault="00956D31">
      <w:pPr>
        <w:widowControl w:val="0"/>
        <w:tabs>
          <w:tab w:val="left" w:pos="1134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  <w:sectPr w:rsidR="00FF42FB">
          <w:headerReference w:type="default" r:id="rId7"/>
          <w:pgSz w:w="11906" w:h="16838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p w:rsidR="00FF42FB" w:rsidRDefault="00956D31">
      <w:pPr>
        <w:spacing w:after="0"/>
        <w:ind w:left="9072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lastRenderedPageBreak/>
        <w:t>УТВЕРЖДЕН</w:t>
      </w:r>
    </w:p>
    <w:p w:rsidR="00FF42FB" w:rsidRDefault="00956D31">
      <w:pPr>
        <w:spacing w:after="0"/>
        <w:ind w:left="9072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eastAsia="Arial Unicode MS" w:hAnsi="Liberation Serif" w:cs="Liberation Serif"/>
          <w:sz w:val="28"/>
          <w:szCs w:val="28"/>
        </w:rPr>
        <w:t>главы Городского округа Верхняя Тура</w:t>
      </w:r>
    </w:p>
    <w:p w:rsidR="00FF42FB" w:rsidRDefault="00956D31">
      <w:pPr>
        <w:spacing w:after="0"/>
        <w:ind w:left="9072"/>
        <w:rPr>
          <w:rFonts w:ascii="Liberation Serif" w:eastAsia="Arial Unicode MS" w:hAnsi="Liberation Serif" w:cs="Liberation Serif"/>
          <w:sz w:val="28"/>
          <w:szCs w:val="28"/>
        </w:rPr>
      </w:pPr>
      <w:r>
        <w:rPr>
          <w:rFonts w:ascii="Liberation Serif" w:eastAsia="Arial Unicode MS" w:hAnsi="Liberation Serif" w:cs="Liberation Serif"/>
          <w:sz w:val="28"/>
          <w:szCs w:val="28"/>
        </w:rPr>
        <w:t>от 14.02.2022г. № 43</w:t>
      </w:r>
    </w:p>
    <w:p w:rsidR="00FF42FB" w:rsidRDefault="00956D31">
      <w:pPr>
        <w:spacing w:after="0"/>
        <w:ind w:left="9072"/>
      </w:pPr>
      <w:r>
        <w:rPr>
          <w:rFonts w:ascii="Liberation Serif" w:eastAsia="Arial Unicode MS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утверждении Плана мероприятий («дорожной карты») по повышению позиций Городского округа Верхняя Тура в Национальном рейтинге состояния инвестиционного климата в Свердловской области на 2022 год</w:t>
      </w:r>
      <w:r>
        <w:rPr>
          <w:rFonts w:ascii="Liberation Serif" w:eastAsia="Arial Unicode MS" w:hAnsi="Liberation Serif" w:cs="Liberation Serif"/>
          <w:sz w:val="28"/>
          <w:szCs w:val="28"/>
        </w:rPr>
        <w:t>»</w:t>
      </w:r>
    </w:p>
    <w:p w:rsidR="00FF42FB" w:rsidRDefault="00FF42FB">
      <w:pPr>
        <w:spacing w:after="0"/>
        <w:ind w:left="5670"/>
        <w:rPr>
          <w:rFonts w:ascii="Liberation Serif" w:hAnsi="Liberation Serif" w:cs="Liberation Serif"/>
          <w:sz w:val="28"/>
          <w:szCs w:val="28"/>
        </w:rPr>
      </w:pPr>
    </w:p>
    <w:p w:rsidR="00FF42FB" w:rsidRDefault="00FF42FB">
      <w:pPr>
        <w:shd w:val="clear" w:color="auto" w:fill="FFFFFF"/>
        <w:tabs>
          <w:tab w:val="right" w:pos="9355"/>
          <w:tab w:val="left" w:pos="11482"/>
          <w:tab w:val="left" w:pos="12191"/>
          <w:tab w:val="left" w:pos="12474"/>
          <w:tab w:val="left" w:pos="13041"/>
        </w:tabs>
        <w:spacing w:after="0"/>
        <w:ind w:left="10348" w:right="-31"/>
        <w:rPr>
          <w:rFonts w:ascii="Liberation Serif" w:hAnsi="Liberation Serif" w:cs="Liberation Serif"/>
          <w:sz w:val="28"/>
          <w:szCs w:val="28"/>
        </w:rPr>
      </w:pPr>
    </w:p>
    <w:p w:rsidR="00FF42FB" w:rsidRDefault="00956D3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 МЕРОПРИЯТИЙ («ДОРОЖНАЯ КАРТА»)</w:t>
      </w:r>
    </w:p>
    <w:p w:rsidR="00FF42FB" w:rsidRDefault="00956D3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повышению позиций Свердловской области в Национальном рейтинге состояния инвестиционного климата в субъектах Российской Федерации на 2022 год</w:t>
      </w:r>
    </w:p>
    <w:p w:rsidR="00FF42FB" w:rsidRDefault="00FF42F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42FB" w:rsidRDefault="00FF42FB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594"/>
        <w:gridCol w:w="2225"/>
        <w:gridCol w:w="3683"/>
        <w:gridCol w:w="853"/>
        <w:gridCol w:w="4496"/>
      </w:tblGrid>
      <w:tr w:rsidR="00FF42F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Показатель и ответственный за достижение планируемого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значения показателя</w:t>
            </w:r>
            <w:r>
              <w:rPr>
                <w:rFonts w:ascii="Liberation Serif" w:hAnsi="Liberation Serif" w:cs="Liberation Serif"/>
                <w:sz w:val="20"/>
                <w:szCs w:val="20"/>
                <w:vertAlign w:val="superscript"/>
                <w:lang w:eastAsia="ru-RU"/>
              </w:rPr>
              <w:t>*</w:t>
            </w:r>
          </w:p>
          <w:p w:rsidR="00FF42FB" w:rsidRDefault="00FF42FB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Значение показателя</w:t>
            </w:r>
          </w:p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на 2020 год</w:t>
            </w:r>
          </w:p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(группа (итоги подводятся</w:t>
            </w:r>
          </w:p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в 2021 году))/</w:t>
            </w:r>
          </w:p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планируемое значение показателя на 2021 год</w:t>
            </w:r>
          </w:p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(группа (итоги подводятся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2022 году))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Критерий оценки показателя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Номер меро-прия-тия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Наименование мероприятия/</w:t>
            </w:r>
          </w:p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ответственный за достижение результата и реализацию мероприятия/</w:t>
            </w:r>
          </w:p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</w:tr>
    </w:tbl>
    <w:p w:rsidR="00FF42FB" w:rsidRDefault="00956D31">
      <w:pPr>
        <w:tabs>
          <w:tab w:val="left" w:pos="1275"/>
        </w:tabs>
        <w:spacing w:after="0"/>
        <w:rPr>
          <w:rFonts w:ascii="Liberation Serif" w:hAnsi="Liberation Serif"/>
          <w:sz w:val="2"/>
          <w:szCs w:val="2"/>
        </w:rPr>
      </w:pPr>
      <w:r>
        <w:rPr>
          <w:rFonts w:ascii="Liberation Serif" w:hAnsi="Liberation Serif"/>
          <w:sz w:val="2"/>
          <w:szCs w:val="2"/>
        </w:rPr>
        <w:tab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2591"/>
        <w:gridCol w:w="2249"/>
        <w:gridCol w:w="3683"/>
        <w:gridCol w:w="853"/>
        <w:gridCol w:w="4496"/>
      </w:tblGrid>
      <w:tr w:rsidR="00FF42F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6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pStyle w:val="a6"/>
              <w:numPr>
                <w:ilvl w:val="0"/>
                <w:numId w:val="1"/>
              </w:numPr>
              <w:tabs>
                <w:tab w:val="left" w:pos="-533"/>
              </w:tabs>
              <w:ind w:left="-397" w:right="-817" w:hanging="28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РЕГУЛЯТОРНАЯ СРЕДА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А3. Повышение эффективности процедур по регистрации прав собственности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414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А3.2. 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Среднее количество процедур, необходимых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для регистрации права собственности юридических лиц и индивидуальных предпринимателей на недвижимое имущество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(кроме права собственности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на земельный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участок) (штук)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1,75 (А)/1,00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общее количество процедур для регистрации прав собственности –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количество любых обязательных или обычно происходящих процедур с целью регистрации прав собственности. Процедурой считается любое взаимодействие хозяйствующего субъекта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 внешними контрагентами, включая органы государственной власти, с целью получения доку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мента, разрешения, заключения, печати, подписи или иного результата, необходимого для законного функционирования бизнеса субъекта. Взаимодействие</w:t>
            </w:r>
          </w:p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 разными отделами одной организации считается отдельной процедурой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Проведение единых дней консультаций для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юридических лиц и индивидуальных предпринимателей на площадках МФЦ в целях оптимизации процедур оформления прав собственности на недвижимое имущество.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ИНСТИТУТЫ ДЛЯ БИЗНЕСА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Б1. Эффективность институтов, обеспечивающих защищенность бизнеса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32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Б1.2.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Эффективность института оценки регулирующего воздействия (средний балл)</w:t>
            </w:r>
          </w:p>
          <w:p w:rsidR="00FF42FB" w:rsidRDefault="00FF42FB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76 (В)/88,10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эффективность ОРВ в органах местного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самоуправления муниципальных образований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Актуализация муниципальных НПА, регулирующих ОРВ, для приведения в соответствие с положениями Федерального закона от 11 июня 2021 года № 170-ФЗ «О внесении изменений в отдельные законодательные акты Российской Фе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дерации в связи с принятием Федерального закона «О государственном контроле (надзоре) и муниципальном контроле в Российской Федерации».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планово-экономический отдел Администрации Городского округа Верхняя Тура.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01.03.2022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Б2. </w:t>
            </w:r>
            <w:r>
              <w:rPr>
                <w:rFonts w:ascii="Liberation Serif" w:hAnsi="Liberation Serif" w:cs="Liberation Serif"/>
                <w:bCs/>
                <w:kern w:val="3"/>
                <w:sz w:val="20"/>
                <w:szCs w:val="20"/>
                <w:lang w:eastAsia="ru-RU"/>
              </w:rPr>
              <w:t>Снижение нагрузки на бизнес, связанной с проведением проверок (административное давление на бизнес)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Б2.2.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Среднее количество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проверок,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проведенных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 отношении одного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юридического лица,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индивидуального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предпринимателя (штук/год)</w:t>
            </w:r>
          </w:p>
          <w:p w:rsidR="00FF42FB" w:rsidRDefault="00FF42FB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2,28 (С)/1,39 (А)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общее количество контрольно-надзорных мероприятий (проверок, административных расследований, допросов, опросов и иных юридически значимых мер) в отношении респондента – общее количество федеральных, региональных и муниципальных контрольно-надзорных меропри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ятий (проверок, административных расследований, допросов, опросов и иных юридически значимых мер) в отношении одного респондента, включая мероприятия, связанные с проверками контрагентов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  <w:p w:rsidR="00FF42FB" w:rsidRDefault="00FF42FB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 w:bidi="ru-RU"/>
              </w:rPr>
              <w:t>Формирование и утверждение проверочных листов – списков контрольн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 w:bidi="ru-RU"/>
              </w:rPr>
              <w:t>ых вопросов, ответы на которые свидетельствуют о соблюдении или несоблюдении контролируемым лицом обязательных требований.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01.08.2022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Обеспечение готовности к применению риск-ориентированного подхода и оценки риска причинения вреда (ущерба) при проведении внеплановых контрольных (надзорных) мероприятий при осуществлении государственного и муниципального контроля (надзора).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01.02.2022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Б3. </w:t>
            </w:r>
            <w:r>
              <w:rPr>
                <w:rFonts w:ascii="Liberation Serif" w:hAnsi="Liberation Serif" w:cs="Liberation Serif"/>
                <w:bCs/>
                <w:kern w:val="3"/>
                <w:sz w:val="20"/>
                <w:szCs w:val="20"/>
                <w:lang w:eastAsia="ru-RU"/>
              </w:rPr>
              <w:t>Повышение эффективности работы организационных механизмов поддержки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Б3.2. Эффективность обратной связи и работы канала (каналов)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прямой связи инвесторов и руководства субъекта Российской Федерации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(средний балл)</w:t>
            </w:r>
          </w:p>
          <w:p w:rsidR="00FF42FB" w:rsidRDefault="00FF42FB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4,38 (С)/4,85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оперативность реагирования руководства субъекта на замечания/предложения в формате поручений ответственным должностным лицам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Проведение диалоговых меро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приятий, включая топ-клубы, «Шаг навстречу», общественную приемную «Открытый диалог», сессии по отдельным направлениям улучшения инвестиционного климата для инвесторов и предпринимателей.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Ответственные: планово-экономический отдел Администрации Городского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округа Верхняя Тура.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ИНФРАСТРУКТУРА И РЕСУРСЫ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В1. Повышение качества и доступности инфраструктуры для бизнеса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523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В1.3. Удовлетворенность предпринимателей качеством теле-коммуникационных услуг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3,76 (В)/3,94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стоимость интернет-связи для бизнеса респондента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ind w:right="-2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Разработка и утверждение положений о порядке предоставления имущества, находящегося в муниципальной собственности, для размещения объектов, сооружений и средств связи, определяющих порядок ценообразования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и сроки предоставления указанного имущества, а также утверждения перечня объектов муниципальной собственности для размещения сооружений и средств связи, разработка и утверждение методических рекомендаций об установлении арендной платы (платы за размещение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) с учетом экономически обоснованных тарифов, возможности осуществления операторами связи технического обслуживания и модернизации объектов, сооружений и средств связи, в том числе с разработкой и утверждением перечня оснований для отказа в предоставлении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объектов в аренду, для размещения объектов, сооружений и средств связи.</w:t>
            </w:r>
          </w:p>
          <w:p w:rsidR="00FF42FB" w:rsidRDefault="00956D31">
            <w:pPr>
              <w:spacing w:after="0"/>
              <w:ind w:right="-2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ind w:right="-2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В2. Повышение эффективности процедур постановки земельно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го участка на кадастровый учет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В2.1. Удовлетворенность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процедурой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постановки на кадастровый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учет (средний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балл)</w:t>
            </w:r>
          </w:p>
          <w:p w:rsidR="00FF42FB" w:rsidRDefault="00FF42FB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4,37 (С)/4,77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скорость согласования (утверждения) документов для постановки на кадастровый учет органами местного самоуправления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Осуществление мониторинга сроков оказания муниципальных услуг органами местного самоуправления муниципальных образований. Принятие мер оперативного реагирования по итогам мониторинга.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Ответственные: Управление по делам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В2.2.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Среднее время прохождения процедуры постановки на кадастровый учет (дней)</w:t>
            </w:r>
          </w:p>
          <w:p w:rsidR="00FF42FB" w:rsidRDefault="00FF42FB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26,54 (В)/19,28 (А)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время постановки земельного участка на кадастровый учет для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респондента – количество рабочих дней от начала процедуры межевания участка до получения подтверждения внесения соответствующих изменений в Единый государственный реестр недвижимости для одного респондента, исключая время ожидания по инициативе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заявителя 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/или из-за непредставления полного пакета документов, необходимых для проведения процедуры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Представление документов для осуществления учетно-регистрационных действий органами местного самоуправления муниципальных образований исключительно в электронном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виде.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один раз в два месяца,</w:t>
            </w:r>
          </w:p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до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Внесение данных в Единый государственный реестр недвижимости: 100% границ населенных пунктов,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100% границ территориальных зон.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01.02.2022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В2.3.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Среднее количество процедур,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необходимых для постановки на кадастровый учет (штук)</w:t>
            </w:r>
          </w:p>
          <w:p w:rsidR="00FF42FB" w:rsidRDefault="00FF42FB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3,15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(С)/1,86 (А)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общее количество процедур для постановки земельного участка на кадастровый учет – количество любых обязательных или обычно происходящих процедур с целью постановки земельного участка на кадастровый учет. Процедурой считается любое взаимодейст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функционирования бизнеса</w:t>
            </w:r>
          </w:p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субъекта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ция проведения комплексных кадастровых работ в целях вовлечения земельных участков в оборот.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Проведение работы с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правообладателями по вопросам необходимости уточнения границ земельных участков и оформления прав на недвижимое имущество.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Осуществление мероприятий по исправлению реестровых ошибок в соответствии с порядком, установленным Федеральным законом от 13 июля 2015 года № 218-ФЗ «О государственной регистрации недвижимости».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льства и муниципального имущества.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ПОДДЕРЖКА МАЛОГО ПРЕДПРИНИМАТЕЛЬСТВА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1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Г3. Повышение эффективности нефинансовой поддержки малого предпринимательства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Г3.1.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Удовлетворенность субъектов малого предпринимательства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наличием и доступностью необходимой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для ведения бизнеса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недвижимости (строений и земельных участков) (средний балл)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2,68 (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 w:eastAsia="ru-RU"/>
              </w:rPr>
              <w:t>D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)/3,04 (А)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доступность качественной информации о недвижимости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(или земельных участках) для бизнес-целей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Размещение информации 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муниципальном имуществе, подлежащем предоставлению во владение и (или) пользование на долгосрочной основе (в том числе по льготным ставкам арендной платы) субъектам предпринимательства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 рамках оказания имущественной поддержки, и о процедурах предоставлени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я указанного имущества в аренду субъектам МСП на сайте Администрации Городского округа Верхняя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Тура, Портале малого и среднего бизнеса Свердловской области, Инвестиционном портале Свердловской области в сети Интернет и СМИ.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01.07.2022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Внесение изменений в НПА органов местного самоуправления муниципальных образований, предусматривающие обязательное размещение в Модуле информации 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проведении торгов государственным имуществом Свердловской области и муниципальным имуществом, в том числе проводимых государственными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и муниципальными предприятиями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учреждениями.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01.06.2022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Внесение изменений в НПА органов местного самоуправления муниципальных образований, предусматривающие обязательное размещение в Модуле информации об объектах, свободных от имущественных прав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субъектов МСП, включенных в перечни.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01.06.2022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Размещение в Модуле в соответствии с Единым стандартом информации об объектах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муниципального имущества, в том числе закрепленного за муниципальными предприятиями и учреждениями, выставленного на торги, а также информации об объектах, свободных от имущественных прав субъектов МСП, включенных в перечни.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лам архитектуры, градостроительства и муниципального имущества.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постоянно, с 01.06.2022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148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средняя цена недвижимости (или земельных участков) необходимого качества для бизнес-целей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Рассмотрение возможности установления рекомендованного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 минимального набора унифицированных льгот для предпринимателей при аренде муниципального имущества,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(с учетом возможности установления дополнительных льгот), и внесение соответствующих изменений в муниципальные НПА. Обеспечение контроля за своевременным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принятием муниципальных НПА.</w:t>
            </w:r>
          </w:p>
          <w:p w:rsidR="00FF42FB" w:rsidRDefault="00956D31">
            <w:pPr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имущества.</w:t>
            </w:r>
          </w:p>
          <w:p w:rsidR="00FF42FB" w:rsidRDefault="00956D31">
            <w:pPr>
              <w:spacing w:after="0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01.04.2022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3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FF42FB">
            <w:pPr>
              <w:suppressAutoHyphens w:val="0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Проведение информационной кампании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по популяризации льгот при предоставлении муниципального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имущества (публикации в СМИ, на сайте Администрации Городского округа Верхняя Тура, наружная реклама, информационные буклеты, таргетированная реклама, адресные рассылки).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архитектуры, градостроительства и муниципального 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мущества.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постоянно, с 01.04.2022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Г3.2.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Доля заключенных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контрактов с субъектами малого предпринимательства (по процедурам конкурсов, аукционов, запросов котировок и запросов предложений, проведенным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для субъектов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малого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предпринимательства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 контрактной системе)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 сфере закупок товаров,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работ, услуг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для обеспечения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государственных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муниципальных нужд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в общей стоимости заключенных государственных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муниципальных контрактов в субъекте Российской Федерации (процентов).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Депа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ртамент государственных закупок Свердловской области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39,36 (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 w:eastAsia="ru-RU"/>
              </w:rPr>
              <w:t>D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)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/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70,73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доля заключенных контрактов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 субъектами малого предпринимательства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(по процедурам конкурсов,  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аукционов, запросов котировок и запросов предложений, проведенных для субъектов малого 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предпринимательства в контрактной системе) в сфере закупок товаров, работ, услуг для обеспечения государственных и муниципальных нужд в общей стоимости заключенных государственных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 муниципальных контрактов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в Свердловской области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достижения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доли муниципальных контрактов с субъектами малого предпринимательства на уровне 70, 73%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в общей стоимости муниципальных контрактов.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Ответственные: планово-экономический отдел Администрации Городского округа Верхняя Тура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Срок реализации: 01.02.2022</w:t>
            </w:r>
          </w:p>
        </w:tc>
      </w:tr>
      <w:tr w:rsidR="00FF42FB">
        <w:tblPrEx>
          <w:tblCellMar>
            <w:top w:w="0" w:type="dxa"/>
            <w:bottom w:w="0" w:type="dxa"/>
          </w:tblCellMar>
        </w:tblPrEx>
        <w:trPr>
          <w:trHeight w:val="17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Г3.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Удовлетворенность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процедурами получения арендных площадей, предоставляемых регионом субъектам малого и среднего бизнеса (средний балл)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3,55 (В)/4,12 (А)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скорость процедур, доступность участия, понятность документооборота,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удобство организации процедур,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прозрачность процедур,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полнота информации о процедурах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jc w:val="center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Рассмотрение возможности предоставления муниципального имущества субъектам МСП без проведения торгов и внесение соответствующих изменений в муниципальные НПА.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Ответственные: Управление по делам архи</w:t>
            </w: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тектуры, градостроительства и муниципального имущества.</w:t>
            </w:r>
          </w:p>
          <w:p w:rsidR="00FF42FB" w:rsidRDefault="00956D31">
            <w:pPr>
              <w:spacing w:after="0" w:line="228" w:lineRule="auto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Срок реализации: 01.04.2022</w:t>
            </w:r>
          </w:p>
        </w:tc>
      </w:tr>
    </w:tbl>
    <w:p w:rsidR="00FF42FB" w:rsidRDefault="00FF42FB">
      <w:pPr>
        <w:spacing w:after="0"/>
        <w:rPr>
          <w:rFonts w:ascii="Liberation Serif" w:hAnsi="Liberation Serif"/>
          <w:sz w:val="2"/>
          <w:szCs w:val="2"/>
        </w:rPr>
      </w:pPr>
    </w:p>
    <w:p w:rsidR="00FF42FB" w:rsidRDefault="00FF42FB">
      <w:pPr>
        <w:tabs>
          <w:tab w:val="left" w:pos="2102"/>
        </w:tabs>
        <w:spacing w:after="0"/>
      </w:pPr>
    </w:p>
    <w:sectPr w:rsidR="00FF42FB">
      <w:headerReference w:type="default" r:id="rId8"/>
      <w:pgSz w:w="16838" w:h="11906" w:orient="landscape"/>
      <w:pgMar w:top="567" w:right="1134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D31" w:rsidRDefault="00956D31">
      <w:pPr>
        <w:spacing w:after="0"/>
      </w:pPr>
      <w:r>
        <w:separator/>
      </w:r>
    </w:p>
  </w:endnote>
  <w:endnote w:type="continuationSeparator" w:id="0">
    <w:p w:rsidR="00956D31" w:rsidRDefault="00956D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D31" w:rsidRDefault="00956D3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56D31" w:rsidRDefault="00956D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49" w:rsidRDefault="00956D31">
    <w:pPr>
      <w:pStyle w:val="a4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>2</w:t>
    </w:r>
    <w:r>
      <w:rPr>
        <w:rFonts w:ascii="Liberation Serif" w:hAnsi="Liberation Serif" w:cs="Liberation Seri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49" w:rsidRDefault="00956D3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A5D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96E"/>
    <w:multiLevelType w:val="multilevel"/>
    <w:tmpl w:val="68FAA5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42FB"/>
    <w:rsid w:val="000A5D02"/>
    <w:rsid w:val="00956D31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9804-C278-4F52-9FEB-75A0BA8F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pPr>
      <w:autoSpaceDE w:val="0"/>
      <w:spacing w:after="135"/>
      <w:outlineLvl w:val="1"/>
    </w:pPr>
    <w:rPr>
      <w:rFonts w:ascii="Times New Roman CYR" w:eastAsia="Times New Roman" w:hAnsi="Times New Roman CYR" w:cs="Times New Roman CYR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 Light" w:eastAsia="Times New Roman" w:hAnsi="Calibri Light" w:cs="Calibri Light"/>
      <w:b/>
      <w:bCs/>
      <w:color w:val="5B9BD5"/>
      <w:sz w:val="28"/>
      <w:szCs w:val="20"/>
      <w:lang w:eastAsia="ru-RU"/>
    </w:rPr>
  </w:style>
  <w:style w:type="paragraph" w:styleId="6">
    <w:name w:val="heading 6"/>
    <w:basedOn w:val="a"/>
    <w:next w:val="a"/>
    <w:pPr>
      <w:spacing w:before="240" w:after="60"/>
      <w:ind w:firstLine="851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color w:val="000000"/>
      <w:kern w:val="3"/>
      <w:sz w:val="24"/>
      <w:szCs w:val="24"/>
      <w:lang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0"/>
      <w:jc w:val="center"/>
    </w:pPr>
    <w:rPr>
      <w:rFonts w:ascii="Times New Roman" w:eastAsia="Times New Roman" w:hAnsi="Times New Roman"/>
      <w:bCs/>
      <w:sz w:val="32"/>
      <w:szCs w:val="27"/>
      <w:lang w:eastAsia="ru-RU"/>
    </w:rPr>
  </w:style>
  <w:style w:type="paragraph" w:styleId="a3">
    <w:name w:val="footnote text"/>
    <w:basedOn w:val="a"/>
    <w:pPr>
      <w:spacing w:after="0"/>
    </w:pPr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pPr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pPr>
      <w:suppressAutoHyphens/>
      <w:autoSpaceDE w:val="0"/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pPr>
      <w:suppressAutoHyphens/>
      <w:autoSpaceDE w:val="0"/>
      <w:spacing w:after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pPr>
      <w:suppressAutoHyphens/>
      <w:autoSpaceDE w:val="0"/>
      <w:spacing w:after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pPr>
      <w:suppressAutoHyphens/>
      <w:autoSpaceDE w:val="0"/>
      <w:spacing w:after="0"/>
    </w:pPr>
    <w:rPr>
      <w:rFonts w:ascii="Courier New" w:eastAsia="Courier New" w:hAnsi="Courier New" w:cs="Courier New"/>
      <w:sz w:val="20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pPr>
      <w:spacing w:after="0"/>
      <w:ind w:left="720" w:firstLine="47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pPr>
      <w:spacing w:after="0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pPr>
      <w:spacing w:after="0"/>
    </w:pPr>
    <w:rPr>
      <w:rFonts w:ascii="Tahoma" w:eastAsia="Tahoma" w:hAnsi="Tahoma" w:cs="Tahoma"/>
      <w:sz w:val="16"/>
      <w:szCs w:val="16"/>
    </w:rPr>
  </w:style>
  <w:style w:type="paragraph" w:styleId="a9">
    <w:name w:val="annotation text"/>
    <w:basedOn w:val="a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Revision"/>
    <w:pPr>
      <w:suppressAutoHyphens/>
      <w:spacing w:after="0"/>
    </w:pPr>
    <w:rPr>
      <w:rFonts w:ascii="Times New Roman" w:eastAsia="Times New Roman" w:hAnsi="Times New Roman"/>
      <w:sz w:val="28"/>
      <w:szCs w:val="28"/>
    </w:rPr>
  </w:style>
  <w:style w:type="paragraph" w:styleId="ac">
    <w:name w:val="No Spacing"/>
    <w:pPr>
      <w:suppressAutoHyphens/>
      <w:spacing w:after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next w:val="a"/>
    <w:pPr>
      <w:keepNext/>
      <w:keepLines/>
      <w:autoSpaceDE w:val="0"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4"/>
      <w:szCs w:val="28"/>
    </w:rPr>
  </w:style>
  <w:style w:type="paragraph" w:customStyle="1" w:styleId="31">
    <w:name w:val="Заголовок 31"/>
    <w:basedOn w:val="a"/>
    <w:next w:val="a"/>
    <w:pPr>
      <w:keepNext/>
      <w:keepLines/>
      <w:autoSpaceDE w:val="0"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after="0" w:line="298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19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PT Sans" w:eastAsia="PT Sans" w:hAnsi="PT Sans" w:cs="PT Sans"/>
      <w:color w:val="000000"/>
      <w:sz w:val="24"/>
      <w:szCs w:val="24"/>
    </w:rPr>
  </w:style>
  <w:style w:type="paragraph" w:customStyle="1" w:styleId="Style2">
    <w:name w:val="Style2"/>
    <w:basedOn w:val="a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Indent0">
    <w:name w:val="Indent_0"/>
    <w:basedOn w:val="a"/>
    <w:pPr>
      <w:spacing w:after="120" w:line="360" w:lineRule="atLeast"/>
      <w:ind w:left="567" w:hanging="567"/>
      <w:jc w:val="both"/>
    </w:pPr>
    <w:rPr>
      <w:rFonts w:ascii="Arial" w:eastAsia="Times New Roman" w:hAnsi="Arial" w:cs="Arial"/>
      <w:szCs w:val="20"/>
      <w:lang w:eastAsia="ru-RU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13"/>
      <w:szCs w:val="13"/>
      <w:lang w:eastAsia="ru-RU"/>
    </w:rPr>
  </w:style>
  <w:style w:type="paragraph" w:customStyle="1" w:styleId="ConsPlusTitlePage">
    <w:name w:val="ConsPlusTitlePage"/>
    <w:pPr>
      <w:suppressAutoHyphens/>
      <w:autoSpaceDE w:val="0"/>
      <w:spacing w:after="0"/>
    </w:pPr>
    <w:rPr>
      <w:rFonts w:ascii="Tahoma" w:eastAsia="Tahoma" w:hAnsi="Tahoma" w:cs="Tahoma"/>
      <w:sz w:val="28"/>
      <w:szCs w:val="28"/>
    </w:rPr>
  </w:style>
  <w:style w:type="paragraph" w:customStyle="1" w:styleId="ConsPlusJurTerm">
    <w:name w:val="ConsPlusJurTerm"/>
    <w:pPr>
      <w:suppressAutoHyphens/>
      <w:autoSpaceDE w:val="0"/>
      <w:spacing w:after="0"/>
    </w:pPr>
    <w:rPr>
      <w:rFonts w:ascii="Tahoma" w:eastAsia="Tahoma" w:hAnsi="Tahoma" w:cs="Tahoma"/>
      <w:sz w:val="26"/>
      <w:szCs w:val="26"/>
    </w:rPr>
  </w:style>
  <w:style w:type="paragraph" w:customStyle="1" w:styleId="font5">
    <w:name w:val="font5"/>
    <w:basedOn w:val="a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pPr>
      <w:spacing w:before="100" w:after="100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pPr>
      <w:shd w:val="clear" w:color="auto" w:fill="FFFFFF"/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pPr>
      <w:shd w:val="clear" w:color="auto" w:fill="FFFF00"/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pP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pPr>
      <w:spacing w:before="100" w:after="10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pPr>
      <w:spacing w:before="100" w:after="100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spacing w:after="0"/>
      <w:ind w:left="-426" w:firstLine="78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rtejustify">
    <w:name w:val="rtejustify"/>
    <w:basedOn w:val="a"/>
    <w:pPr>
      <w:spacing w:before="100" w:after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spacing w:after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pPr>
      <w:widowControl w:val="0"/>
      <w:autoSpaceDE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5">
    <w:name w:val="Текст абзаца по ГОСТ 2.105"/>
    <w:basedOn w:val="a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Текст_второй_и_далее_абзацы"/>
    <w:basedOn w:val="a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endnote text"/>
    <w:basedOn w:val="a"/>
    <w:pPr>
      <w:spacing w:after="0"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f1">
    <w:name w:val="Текст сноски Знак"/>
    <w:basedOn w:val="a0"/>
    <w:rPr>
      <w:sz w:val="20"/>
      <w:szCs w:val="20"/>
    </w:rPr>
  </w:style>
  <w:style w:type="character" w:styleId="af2">
    <w:name w:val="footnote reference"/>
    <w:rPr>
      <w:position w:val="0"/>
      <w:vertAlign w:val="superscript"/>
    </w:rPr>
  </w:style>
  <w:style w:type="character" w:customStyle="1" w:styleId="af3">
    <w:name w:val="Верх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1">
    <w:name w:val="Заголовок 2 Знак"/>
    <w:basedOn w:val="a0"/>
    <w:rPr>
      <w:rFonts w:ascii="Times New Roman CYR" w:eastAsia="Times New Roman" w:hAnsi="Times New Roman CYR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color w:val="5B9BD5"/>
      <w:sz w:val="28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4">
    <w:name w:val="Нижний колонтитул Знак"/>
    <w:basedOn w:val="a0"/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styleId="af6">
    <w:name w:val="annotation reference"/>
    <w:rPr>
      <w:sz w:val="16"/>
      <w:szCs w:val="16"/>
    </w:rPr>
  </w:style>
  <w:style w:type="character" w:customStyle="1" w:styleId="af7">
    <w:name w:val="Текст примечания Знак"/>
    <w:basedOn w:val="a0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Тема примечания Знак"/>
    <w:basedOn w:val="af7"/>
    <w:rPr>
      <w:rFonts w:ascii="Times New Roman" w:eastAsia="Calibri" w:hAnsi="Times New Roman" w:cs="Times New Roman"/>
      <w:b/>
      <w:bCs/>
      <w:sz w:val="20"/>
      <w:szCs w:val="20"/>
    </w:rPr>
  </w:style>
  <w:style w:type="character" w:styleId="af9">
    <w:name w:val="Hyperlink"/>
    <w:rPr>
      <w:color w:val="0000FF"/>
      <w:u w:val="single"/>
    </w:rPr>
  </w:style>
  <w:style w:type="character" w:styleId="afa">
    <w:name w:val="line number"/>
  </w:style>
  <w:style w:type="character" w:styleId="afb">
    <w:name w:val="Strong"/>
    <w:rPr>
      <w:b/>
      <w:bCs/>
    </w:rPr>
  </w:style>
  <w:style w:type="character" w:customStyle="1" w:styleId="FontStyle19">
    <w:name w:val="Font Style19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</w:style>
  <w:style w:type="character" w:customStyle="1" w:styleId="CharStyle18">
    <w:name w:val="CharStyle18"/>
    <w:rPr>
      <w:rFonts w:ascii="Times New Roman" w:eastAsia="Times New Roman" w:hAnsi="Times New Roman" w:cs="Times New Roman"/>
      <w:b/>
      <w:bCs/>
      <w:i w:val="0"/>
      <w:iCs w:val="0"/>
      <w:sz w:val="16"/>
      <w:szCs w:val="1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13"/>
      <w:szCs w:val="13"/>
      <w:lang w:eastAsia="ru-RU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Абзац списка Знак"/>
  </w:style>
  <w:style w:type="character" w:customStyle="1" w:styleId="110">
    <w:name w:val="Заголовок 1 Знак1"/>
    <w:rPr>
      <w:rFonts w:ascii="Calibri Light" w:eastAsia="Times New Roman" w:hAnsi="Calibri Light" w:cs="Times New Roman"/>
      <w:b/>
      <w:bCs/>
      <w:kern w:val="3"/>
      <w:sz w:val="32"/>
      <w:szCs w:val="32"/>
      <w:lang w:eastAsia="en-US"/>
    </w:rPr>
  </w:style>
  <w:style w:type="character" w:customStyle="1" w:styleId="311">
    <w:name w:val="Заголовок 3 Знак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FontStyle13">
    <w:name w:val="Font Style13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12">
    <w:name w:val="Тема примечания Знак1"/>
    <w:basedOn w:val="a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Основной текст Знак"/>
    <w:basedOn w:val="a0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character" w:customStyle="1" w:styleId="apple-converted-space">
    <w:name w:val="apple-converted-space"/>
    <w:basedOn w:val="a0"/>
  </w:style>
  <w:style w:type="character" w:styleId="aff0">
    <w:name w:val="Emphasis"/>
    <w:basedOn w:val="a0"/>
    <w:rPr>
      <w:i/>
      <w:iCs/>
    </w:rPr>
  </w:style>
  <w:style w:type="character" w:customStyle="1" w:styleId="FontStyle18">
    <w:name w:val="Font Style18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aff1">
    <w:name w:val="Цветовое выделение"/>
    <w:rPr>
      <w:b/>
      <w:color w:val="26282F"/>
    </w:rPr>
  </w:style>
  <w:style w:type="character" w:customStyle="1" w:styleId="aff2">
    <w:name w:val="Гипертекстовая ссылка"/>
    <w:rPr>
      <w:rFonts w:cs="Times New Roman"/>
      <w:b w:val="0"/>
      <w:color w:val="106BBE"/>
    </w:rPr>
  </w:style>
  <w:style w:type="character" w:styleId="aff3">
    <w:name w:val="Book Title"/>
    <w:rPr>
      <w:b/>
      <w:bCs/>
      <w:i/>
      <w:iCs/>
      <w:spacing w:val="5"/>
    </w:rPr>
  </w:style>
  <w:style w:type="character" w:customStyle="1" w:styleId="extended-textshort">
    <w:name w:val="extended-text__short"/>
    <w:basedOn w:val="a0"/>
  </w:style>
  <w:style w:type="character" w:customStyle="1" w:styleId="extended-textfull">
    <w:name w:val="extended-text__full"/>
    <w:basedOn w:val="a0"/>
  </w:style>
  <w:style w:type="character" w:customStyle="1" w:styleId="blk">
    <w:name w:val="blk"/>
    <w:basedOn w:val="a0"/>
  </w:style>
  <w:style w:type="character" w:customStyle="1" w:styleId="aff4">
    <w:name w:val="Текст концевой сноски Знак"/>
    <w:basedOn w:val="a0"/>
    <w:rPr>
      <w:rFonts w:ascii="Times New Roman" w:eastAsia="Calibri" w:hAnsi="Times New Roman" w:cs="Times New Roman"/>
      <w:sz w:val="20"/>
      <w:szCs w:val="20"/>
    </w:rPr>
  </w:style>
  <w:style w:type="character" w:styleId="aff5">
    <w:name w:val="endnote reference"/>
    <w:basedOn w:val="a0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Егения Сергеевна</dc:creator>
  <dc:description/>
  <cp:lastModifiedBy>Мухачев Алексей Львович</cp:lastModifiedBy>
  <cp:revision>2</cp:revision>
  <cp:lastPrinted>2022-02-14T12:00:00Z</cp:lastPrinted>
  <dcterms:created xsi:type="dcterms:W3CDTF">2022-02-18T03:39:00Z</dcterms:created>
  <dcterms:modified xsi:type="dcterms:W3CDTF">2022-02-18T03:39:00Z</dcterms:modified>
</cp:coreProperties>
</file>